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1B558D81" w:rsidR="003B163E" w:rsidRPr="00CE0424" w:rsidRDefault="003B163E" w:rsidP="003B163E">
      <w:pPr>
        <w:pStyle w:val="3GPPHeader"/>
        <w:spacing w:after="60"/>
        <w:rPr>
          <w:sz w:val="32"/>
          <w:szCs w:val="32"/>
          <w:highlight w:val="yellow"/>
        </w:rPr>
      </w:pPr>
      <w:r w:rsidRPr="00CE0424">
        <w:t>3GPP TSG-RAN WG</w:t>
      </w:r>
      <w:r>
        <w:t>1</w:t>
      </w:r>
      <w:r w:rsidRPr="00CE0424">
        <w:t xml:space="preserve"> </w:t>
      </w:r>
      <w:r>
        <w:t xml:space="preserve">Meeting </w:t>
      </w:r>
      <w:r w:rsidRPr="00CE0424">
        <w:t>#</w:t>
      </w:r>
      <w:r>
        <w:t>96</w:t>
      </w:r>
      <w:r w:rsidR="00D85F43">
        <w:t>bis</w:t>
      </w:r>
      <w:r w:rsidRPr="00CE0424">
        <w:tab/>
      </w:r>
      <w:r w:rsidR="00E67AFE" w:rsidRPr="00E67AFE">
        <w:rPr>
          <w:sz w:val="32"/>
          <w:szCs w:val="32"/>
        </w:rPr>
        <w:t>R1-1905497</w:t>
      </w:r>
    </w:p>
    <w:p w14:paraId="24EA16EB" w14:textId="1DE39B85" w:rsidR="003B163E" w:rsidRPr="00CE0424" w:rsidRDefault="00D85F43" w:rsidP="003B163E">
      <w:pPr>
        <w:pStyle w:val="3GPPHeade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3B163E">
        <w:t>1</w:t>
      </w:r>
      <w:r>
        <w:t>2</w:t>
      </w:r>
      <w:r w:rsidR="003B163E">
        <w:rPr>
          <w:vertAlign w:val="superscript"/>
        </w:rPr>
        <w:t>t</w:t>
      </w:r>
      <w:r w:rsidR="00E71441">
        <w:rPr>
          <w:vertAlign w:val="superscript"/>
        </w:rPr>
        <w:t>h</w:t>
      </w:r>
      <w:r w:rsidR="003B163E" w:rsidRPr="00CE0BF7">
        <w:t xml:space="preserve"> </w:t>
      </w:r>
      <w:r w:rsidR="003B163E">
        <w:t>2019</w:t>
      </w:r>
    </w:p>
    <w:p w14:paraId="60A5317D" w14:textId="77777777" w:rsidR="00E90E49" w:rsidRPr="00CE0424" w:rsidRDefault="00E90E49" w:rsidP="00357380">
      <w:pPr>
        <w:pStyle w:val="3GPPHeader"/>
      </w:pPr>
    </w:p>
    <w:p w14:paraId="3C6869D1" w14:textId="598AF819" w:rsidR="00E90E49" w:rsidRPr="00E71441" w:rsidRDefault="00E90E49" w:rsidP="00311702">
      <w:pPr>
        <w:pStyle w:val="3GPPHeader"/>
        <w:rPr>
          <w:sz w:val="22"/>
          <w:szCs w:val="22"/>
          <w:lang w:val="en-US"/>
        </w:rPr>
      </w:pPr>
      <w:r w:rsidRPr="00E71441">
        <w:rPr>
          <w:sz w:val="22"/>
          <w:szCs w:val="22"/>
          <w:lang w:val="en-US"/>
        </w:rPr>
        <w:t>Agenda Item:</w:t>
      </w:r>
      <w:r w:rsidRPr="00E71441">
        <w:rPr>
          <w:sz w:val="22"/>
          <w:szCs w:val="22"/>
          <w:lang w:val="en-US"/>
        </w:rPr>
        <w:tab/>
      </w:r>
      <w:r w:rsidR="00EB392B" w:rsidRPr="00E71441">
        <w:rPr>
          <w:sz w:val="22"/>
          <w:szCs w:val="22"/>
          <w:lang w:val="en-US"/>
        </w:rPr>
        <w:t>7.2.4.8</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FBBDDCC" w:rsidR="00E90E49" w:rsidRPr="00D67C92" w:rsidRDefault="003D3C45" w:rsidP="00311702">
      <w:pPr>
        <w:pStyle w:val="3GPPHeader"/>
        <w:rPr>
          <w:sz w:val="22"/>
          <w:szCs w:val="22"/>
        </w:rPr>
      </w:pPr>
      <w:r>
        <w:rPr>
          <w:sz w:val="22"/>
          <w:szCs w:val="22"/>
        </w:rPr>
        <w:t>Title:</w:t>
      </w:r>
      <w:r w:rsidR="00E90E49" w:rsidRPr="00CE0424">
        <w:rPr>
          <w:sz w:val="22"/>
          <w:szCs w:val="22"/>
        </w:rPr>
        <w:tab/>
      </w:r>
      <w:r w:rsidR="00022E59" w:rsidRPr="00D67C92">
        <w:rPr>
          <w:sz w:val="22"/>
          <w:lang w:val="en-US"/>
        </w:rPr>
        <w:t>On NR sidelink resources</w:t>
      </w:r>
      <w:r w:rsidR="00E82172" w:rsidRPr="00D67C92">
        <w:rPr>
          <w:sz w:val="22"/>
          <w:lang w:val="en-US"/>
        </w:rPr>
        <w:t xml:space="preserve"> and </w:t>
      </w:r>
      <w:r w:rsidR="00C10181" w:rsidRPr="00D67C92">
        <w:rPr>
          <w:sz w:val="22"/>
          <w:lang w:val="en-US"/>
        </w:rPr>
        <w:t>short</w:t>
      </w:r>
      <w:r w:rsidR="00DE6E2C" w:rsidRPr="00D67C92">
        <w:rPr>
          <w:sz w:val="22"/>
          <w:lang w:val="en-US"/>
        </w:rPr>
        <w:t>-</w:t>
      </w:r>
      <w:r w:rsidR="00C10181" w:rsidRPr="00D67C92">
        <w:rPr>
          <w:sz w:val="22"/>
          <w:lang w:val="en-US"/>
        </w:rPr>
        <w:t>slot format</w:t>
      </w:r>
    </w:p>
    <w:p w14:paraId="58D4CB54" w14:textId="77777777" w:rsidR="00E90E49" w:rsidRPr="00CE0424" w:rsidRDefault="00E90E49" w:rsidP="00D546FF">
      <w:pPr>
        <w:pStyle w:val="3GPPHeader"/>
        <w:rPr>
          <w:sz w:val="22"/>
          <w:szCs w:val="22"/>
        </w:rPr>
      </w:pPr>
      <w:r w:rsidRPr="00D67C92">
        <w:rPr>
          <w:sz w:val="22"/>
          <w:szCs w:val="22"/>
        </w:rPr>
        <w:t>Document for:</w:t>
      </w:r>
      <w:r w:rsidRPr="00D67C92">
        <w:rPr>
          <w:sz w:val="22"/>
          <w:szCs w:val="22"/>
        </w:rPr>
        <w:tab/>
        <w:t>Discussion, Decision</w:t>
      </w:r>
    </w:p>
    <w:p w14:paraId="76893D37" w14:textId="77777777" w:rsidR="00E90E49" w:rsidRPr="00CE0424" w:rsidRDefault="00E90E49" w:rsidP="00E90E49"/>
    <w:p w14:paraId="4D8D7BF0" w14:textId="29589686" w:rsidR="00BB7040" w:rsidRPr="00D73B5E" w:rsidRDefault="00D73B5E" w:rsidP="00D73B5E">
      <w:pPr>
        <w:pStyle w:val="Heading1"/>
      </w:pPr>
      <w:r>
        <w:t>1</w:t>
      </w:r>
      <w:r>
        <w:tab/>
      </w:r>
      <w:r w:rsidR="00022E59" w:rsidRPr="00853DAF">
        <w:t>Introduction</w:t>
      </w:r>
    </w:p>
    <w:p w14:paraId="7EF918DF" w14:textId="37F0A669" w:rsidR="00E36362" w:rsidRDefault="00E36362" w:rsidP="00022E59">
      <w:pPr>
        <w:jc w:val="both"/>
        <w:rPr>
          <w:rFonts w:ascii="Arial" w:eastAsia="Calibri" w:hAnsi="Arial" w:cs="Arial"/>
          <w:lang w:val="en-US"/>
        </w:rPr>
      </w:pPr>
      <w:r>
        <w:rPr>
          <w:rFonts w:ascii="Arial" w:eastAsia="Calibri" w:hAnsi="Arial" w:cs="Arial"/>
          <w:lang w:val="en-US"/>
        </w:rPr>
        <w:t>A new WI on 5G V2X is approved in RAN plenary # 83 [1]. Among others, one of the objectives of the WI includes to design an NR sidelink which can operate on both licensed frequency carrier and unlicensed frequency carrier</w:t>
      </w:r>
      <w:r w:rsidR="00F2799F">
        <w:rPr>
          <w:rFonts w:ascii="Arial" w:eastAsia="Calibri" w:hAnsi="Arial" w:cs="Arial"/>
          <w:lang w:val="en-US"/>
        </w:rPr>
        <w:t xml:space="preserve"> (i.e. dedicated to V2X)</w:t>
      </w:r>
      <w:r>
        <w:rPr>
          <w:rFonts w:ascii="Arial" w:eastAsia="Calibri" w:hAnsi="Arial" w:cs="Arial"/>
          <w:lang w:val="en-US"/>
        </w:rPr>
        <w:t xml:space="preserve">. Furthermore, the operating scenarios of 5G V2X include in-coverage, partial coverage and out-of-coverage. In this contribution, we discuss our views on the use of resources and their configuration in case of licensed carrier when NR sidelink shares it with NR </w:t>
      </w:r>
      <w:proofErr w:type="spellStart"/>
      <w:r>
        <w:rPr>
          <w:rFonts w:ascii="Arial" w:eastAsia="Calibri" w:hAnsi="Arial" w:cs="Arial"/>
          <w:lang w:val="en-US"/>
        </w:rPr>
        <w:t>Uu</w:t>
      </w:r>
      <w:proofErr w:type="spellEnd"/>
      <w:r>
        <w:rPr>
          <w:rFonts w:ascii="Arial" w:eastAsia="Calibri" w:hAnsi="Arial" w:cs="Arial"/>
          <w:lang w:val="en-US"/>
        </w:rPr>
        <w:t>. Also,</w:t>
      </w:r>
      <w:r w:rsidR="00F2799F">
        <w:rPr>
          <w:rFonts w:ascii="Arial" w:eastAsia="Calibri" w:hAnsi="Arial" w:cs="Arial"/>
          <w:lang w:val="en-US"/>
        </w:rPr>
        <w:t xml:space="preserve"> in situations when not all symbols are deemed as available for sidelink transmissions by the network, </w:t>
      </w:r>
      <w:r>
        <w:rPr>
          <w:rFonts w:ascii="Arial" w:eastAsia="Calibri" w:hAnsi="Arial" w:cs="Arial"/>
          <w:lang w:val="en-US"/>
        </w:rPr>
        <w:t>we discuss some of the design aspects</w:t>
      </w:r>
      <w:r w:rsidR="00F2799F">
        <w:rPr>
          <w:rFonts w:ascii="Arial" w:eastAsia="Calibri" w:hAnsi="Arial" w:cs="Arial"/>
          <w:lang w:val="en-US"/>
        </w:rPr>
        <w:t xml:space="preserve"> to be considered during the WI. </w:t>
      </w:r>
      <w:r>
        <w:rPr>
          <w:rFonts w:ascii="Arial" w:eastAsia="Calibri" w:hAnsi="Arial" w:cs="Arial"/>
          <w:lang w:val="en-US"/>
        </w:rPr>
        <w:t xml:space="preserve"> </w:t>
      </w:r>
    </w:p>
    <w:p w14:paraId="4FEC14C5" w14:textId="127F1FBD" w:rsidR="00022E59" w:rsidRPr="00BB7040" w:rsidRDefault="00F2799F" w:rsidP="00022E59">
      <w:pPr>
        <w:jc w:val="both"/>
        <w:rPr>
          <w:rFonts w:ascii="Arial" w:eastAsia="Calibri" w:hAnsi="Arial" w:cs="Arial"/>
          <w:lang w:val="en-US"/>
        </w:rPr>
      </w:pPr>
      <w:r>
        <w:rPr>
          <w:rFonts w:ascii="Arial" w:eastAsia="Calibri" w:hAnsi="Arial" w:cs="Arial"/>
          <w:lang w:val="en-US"/>
        </w:rPr>
        <w:t>In this regard, the following agreements were made during the SI [</w:t>
      </w:r>
      <w:r w:rsidR="00AA5267">
        <w:rPr>
          <w:rFonts w:ascii="Arial" w:eastAsia="Calibri" w:hAnsi="Arial" w:cs="Arial"/>
          <w:lang w:val="en-US"/>
        </w:rPr>
        <w:t>2</w:t>
      </w:r>
      <w:r>
        <w:rPr>
          <w:rFonts w:ascii="Arial" w:eastAsia="Calibri" w:hAnsi="Arial" w:cs="Arial"/>
          <w:lang w:val="en-US"/>
        </w:rPr>
        <w:t>]</w:t>
      </w:r>
      <w:r w:rsidR="0028770C">
        <w:rPr>
          <w:rFonts w:ascii="Arial" w:eastAsia="Calibri" w:hAnsi="Arial" w:cs="Arial"/>
          <w:lang w:val="en-US"/>
        </w:rPr>
        <w:t>.</w:t>
      </w:r>
    </w:p>
    <w:tbl>
      <w:tblPr>
        <w:tblStyle w:val="TableGrid"/>
        <w:tblW w:w="0" w:type="auto"/>
        <w:tblLook w:val="04A0" w:firstRow="1" w:lastRow="0" w:firstColumn="1" w:lastColumn="0" w:noHBand="0" w:noVBand="1"/>
      </w:tblPr>
      <w:tblGrid>
        <w:gridCol w:w="9629"/>
      </w:tblGrid>
      <w:tr w:rsidR="00022E59" w:rsidRPr="008C1985" w14:paraId="07201A23" w14:textId="77777777" w:rsidTr="002A05D0">
        <w:tc>
          <w:tcPr>
            <w:tcW w:w="9629" w:type="dxa"/>
          </w:tcPr>
          <w:p w14:paraId="2EE5B158" w14:textId="77777777" w:rsidR="00022E59" w:rsidRPr="00F2799F" w:rsidRDefault="00022E59" w:rsidP="002A05D0">
            <w:pPr>
              <w:jc w:val="both"/>
              <w:rPr>
                <w:rFonts w:ascii="Arial" w:hAnsi="Arial" w:cs="Arial"/>
                <w:sz w:val="20"/>
                <w:szCs w:val="20"/>
              </w:rPr>
            </w:pPr>
            <w:r w:rsidRPr="00F2799F">
              <w:rPr>
                <w:rFonts w:ascii="Arial" w:hAnsi="Arial" w:cs="Arial"/>
                <w:sz w:val="20"/>
                <w:szCs w:val="20"/>
                <w:highlight w:val="green"/>
              </w:rPr>
              <w:t>Agreements:</w:t>
            </w:r>
          </w:p>
          <w:p w14:paraId="3CD14666" w14:textId="77777777" w:rsidR="00022E59" w:rsidRPr="00F2799F" w:rsidRDefault="00022E59" w:rsidP="00B848A6">
            <w:pPr>
              <w:pStyle w:val="ListParagraph"/>
              <w:numPr>
                <w:ilvl w:val="0"/>
                <w:numId w:val="28"/>
              </w:numPr>
              <w:spacing w:after="180"/>
              <w:ind w:hanging="357"/>
              <w:contextualSpacing/>
              <w:jc w:val="both"/>
              <w:rPr>
                <w:rFonts w:ascii="Arial" w:hAnsi="Arial" w:cs="Arial"/>
                <w:sz w:val="20"/>
                <w:szCs w:val="20"/>
                <w:lang w:val="en-US"/>
              </w:rPr>
            </w:pPr>
            <w:r w:rsidRPr="00F2799F">
              <w:rPr>
                <w:rFonts w:ascii="Arial" w:hAnsi="Arial" w:cs="Arial"/>
                <w:sz w:val="20"/>
                <w:szCs w:val="20"/>
                <w:lang w:val="en-US"/>
              </w:rPr>
              <w:t xml:space="preserve">NR </w:t>
            </w:r>
            <w:proofErr w:type="spellStart"/>
            <w:r w:rsidRPr="00F2799F">
              <w:rPr>
                <w:rFonts w:ascii="Arial" w:hAnsi="Arial" w:cs="Arial"/>
                <w:sz w:val="20"/>
                <w:szCs w:val="20"/>
                <w:lang w:val="en-US"/>
              </w:rPr>
              <w:t>Uu</w:t>
            </w:r>
            <w:proofErr w:type="spellEnd"/>
            <w:r w:rsidRPr="00F2799F">
              <w:rPr>
                <w:rFonts w:ascii="Arial" w:hAnsi="Arial" w:cs="Arial"/>
                <w:sz w:val="20"/>
                <w:szCs w:val="20"/>
                <w:lang w:val="en-US"/>
              </w:rPr>
              <w:t xml:space="preserve"> can assign NR sidelink resources for the following:</w:t>
            </w:r>
          </w:p>
          <w:p w14:paraId="43869132" w14:textId="77777777" w:rsidR="00022E59" w:rsidRPr="00F2799F" w:rsidRDefault="00022E59" w:rsidP="00022E59">
            <w:pPr>
              <w:numPr>
                <w:ilvl w:val="1"/>
                <w:numId w:val="27"/>
              </w:numPr>
              <w:ind w:hanging="357"/>
              <w:contextualSpacing/>
              <w:jc w:val="both"/>
              <w:rPr>
                <w:rFonts w:ascii="Arial" w:hAnsi="Arial" w:cs="Arial"/>
                <w:sz w:val="20"/>
                <w:szCs w:val="20"/>
                <w:lang w:val="en-US"/>
              </w:rPr>
            </w:pPr>
            <w:r w:rsidRPr="00F2799F">
              <w:rPr>
                <w:rFonts w:ascii="Arial" w:hAnsi="Arial" w:cs="Arial"/>
                <w:sz w:val="20"/>
                <w:szCs w:val="20"/>
                <w:lang w:val="en-US"/>
              </w:rPr>
              <w:t xml:space="preserve">Shared licensed carrier between </w:t>
            </w:r>
            <w:proofErr w:type="spellStart"/>
            <w:r w:rsidRPr="00F2799F">
              <w:rPr>
                <w:rFonts w:ascii="Arial" w:hAnsi="Arial" w:cs="Arial"/>
                <w:sz w:val="20"/>
                <w:szCs w:val="20"/>
                <w:lang w:val="en-US"/>
              </w:rPr>
              <w:t>Uu</w:t>
            </w:r>
            <w:proofErr w:type="spellEnd"/>
            <w:r w:rsidRPr="00F2799F">
              <w:rPr>
                <w:rFonts w:ascii="Arial" w:hAnsi="Arial" w:cs="Arial"/>
                <w:sz w:val="20"/>
                <w:szCs w:val="20"/>
                <w:lang w:val="en-US"/>
              </w:rPr>
              <w:t xml:space="preserve"> and NR </w:t>
            </w:r>
            <w:proofErr w:type="spellStart"/>
            <w:r w:rsidRPr="00F2799F">
              <w:rPr>
                <w:rFonts w:ascii="Arial" w:hAnsi="Arial" w:cs="Arial"/>
                <w:sz w:val="20"/>
                <w:szCs w:val="20"/>
                <w:lang w:val="en-US"/>
              </w:rPr>
              <w:t>sidelink</w:t>
            </w:r>
            <w:proofErr w:type="spellEnd"/>
          </w:p>
          <w:p w14:paraId="1C7CF259" w14:textId="77777777" w:rsidR="00022E59" w:rsidRPr="00F2799F" w:rsidRDefault="00022E59" w:rsidP="00022E59">
            <w:pPr>
              <w:numPr>
                <w:ilvl w:val="1"/>
                <w:numId w:val="27"/>
              </w:numPr>
              <w:ind w:hanging="357"/>
              <w:contextualSpacing/>
              <w:jc w:val="both"/>
              <w:rPr>
                <w:rFonts w:ascii="Arial" w:hAnsi="Arial" w:cs="Arial"/>
                <w:sz w:val="20"/>
                <w:szCs w:val="20"/>
              </w:rPr>
            </w:pPr>
            <w:r w:rsidRPr="00F2799F">
              <w:rPr>
                <w:rFonts w:ascii="Arial" w:hAnsi="Arial" w:cs="Arial"/>
                <w:sz w:val="20"/>
                <w:szCs w:val="20"/>
              </w:rPr>
              <w:t>Dedicated NR sidelink carrier</w:t>
            </w:r>
          </w:p>
          <w:p w14:paraId="006A093E" w14:textId="77777777" w:rsidR="00022E59" w:rsidRPr="00F2799F" w:rsidRDefault="00022E59" w:rsidP="002A05D0">
            <w:pPr>
              <w:ind w:left="1440"/>
              <w:contextualSpacing/>
              <w:jc w:val="both"/>
              <w:rPr>
                <w:rFonts w:ascii="Arial" w:hAnsi="Arial" w:cs="Arial"/>
                <w:sz w:val="20"/>
                <w:szCs w:val="20"/>
              </w:rPr>
            </w:pPr>
          </w:p>
          <w:p w14:paraId="301EC4D5" w14:textId="77777777" w:rsidR="00022E59" w:rsidRPr="00F2799F" w:rsidRDefault="00022E59" w:rsidP="00022E59">
            <w:pPr>
              <w:pStyle w:val="ListParagraph"/>
              <w:numPr>
                <w:ilvl w:val="0"/>
                <w:numId w:val="28"/>
              </w:numPr>
              <w:spacing w:after="180"/>
              <w:contextualSpacing/>
              <w:jc w:val="both"/>
              <w:rPr>
                <w:rFonts w:ascii="Arial" w:hAnsi="Arial" w:cs="Arial"/>
                <w:sz w:val="20"/>
                <w:szCs w:val="20"/>
                <w:lang w:val="en-US"/>
              </w:rPr>
            </w:pPr>
            <w:r w:rsidRPr="00F2799F">
              <w:rPr>
                <w:rFonts w:ascii="Arial" w:hAnsi="Arial" w:cs="Arial"/>
                <w:sz w:val="20"/>
                <w:szCs w:val="20"/>
                <w:lang w:val="en-US"/>
              </w:rPr>
              <w:t>Study further which resources to use for SL transmission and other network-control sidelink issues (e.g., power control) in the case of shared carrier.</w:t>
            </w:r>
          </w:p>
          <w:p w14:paraId="219A37A3" w14:textId="77777777" w:rsidR="00F2799F" w:rsidRPr="00F2799F" w:rsidRDefault="00F2799F" w:rsidP="00F2799F">
            <w:pPr>
              <w:jc w:val="both"/>
              <w:rPr>
                <w:rFonts w:ascii="Arial" w:hAnsi="Arial" w:cs="Arial"/>
                <w:sz w:val="20"/>
                <w:szCs w:val="20"/>
              </w:rPr>
            </w:pPr>
            <w:r w:rsidRPr="00F2799F">
              <w:rPr>
                <w:rFonts w:ascii="Arial" w:hAnsi="Arial" w:cs="Arial"/>
                <w:sz w:val="20"/>
                <w:szCs w:val="20"/>
                <w:highlight w:val="green"/>
              </w:rPr>
              <w:t>Agreements:</w:t>
            </w:r>
          </w:p>
          <w:p w14:paraId="34552AD4" w14:textId="77777777" w:rsidR="00F2799F" w:rsidRPr="00F2799F" w:rsidRDefault="00F2799F" w:rsidP="00B848A6">
            <w:pPr>
              <w:numPr>
                <w:ilvl w:val="0"/>
                <w:numId w:val="28"/>
              </w:numPr>
              <w:spacing w:after="60"/>
              <w:ind w:left="714" w:hanging="357"/>
              <w:jc w:val="both"/>
              <w:rPr>
                <w:rFonts w:ascii="Arial" w:hAnsi="Arial" w:cs="Arial"/>
                <w:sz w:val="20"/>
                <w:szCs w:val="20"/>
                <w:lang w:eastAsia="ko-KR"/>
              </w:rPr>
            </w:pPr>
            <w:r w:rsidRPr="00F2799F">
              <w:rPr>
                <w:rFonts w:ascii="Arial" w:hAnsi="Arial" w:cs="Arial"/>
                <w:sz w:val="20"/>
                <w:szCs w:val="20"/>
                <w:lang w:eastAsia="ko-KR"/>
              </w:rPr>
              <w:t>For the operation regarding PSSCH, a UE performs either transmission or reception in a slot on a carrier.</w:t>
            </w:r>
          </w:p>
          <w:p w14:paraId="4258CCD9" w14:textId="77777777" w:rsidR="00F2799F" w:rsidRPr="00F2799F" w:rsidRDefault="00F2799F" w:rsidP="00F2799F">
            <w:pPr>
              <w:numPr>
                <w:ilvl w:val="0"/>
                <w:numId w:val="28"/>
              </w:numPr>
              <w:spacing w:before="120" w:after="60"/>
              <w:jc w:val="both"/>
              <w:rPr>
                <w:rFonts w:ascii="Arial" w:hAnsi="Arial" w:cs="Arial"/>
                <w:sz w:val="20"/>
                <w:szCs w:val="20"/>
                <w:lang w:eastAsia="ko-KR"/>
              </w:rPr>
            </w:pPr>
            <w:r w:rsidRPr="00F2799F">
              <w:rPr>
                <w:rFonts w:ascii="Arial" w:hAnsi="Arial" w:cs="Arial"/>
                <w:sz w:val="20"/>
                <w:szCs w:val="20"/>
                <w:lang w:eastAsia="ko-KR"/>
              </w:rPr>
              <w:t>NR sidelink supports for a UE:</w:t>
            </w:r>
          </w:p>
          <w:p w14:paraId="63B785C2" w14:textId="77777777" w:rsidR="00F2799F" w:rsidRPr="00F2799F" w:rsidRDefault="00F2799F" w:rsidP="00F2799F">
            <w:pPr>
              <w:numPr>
                <w:ilvl w:val="1"/>
                <w:numId w:val="28"/>
              </w:numPr>
              <w:spacing w:before="120" w:after="60"/>
              <w:jc w:val="both"/>
              <w:rPr>
                <w:rFonts w:ascii="Arial" w:hAnsi="Arial" w:cs="Arial"/>
                <w:sz w:val="20"/>
                <w:szCs w:val="20"/>
                <w:lang w:eastAsia="ko-KR"/>
              </w:rPr>
            </w:pPr>
            <w:r w:rsidRPr="00F2799F">
              <w:rPr>
                <w:rFonts w:ascii="Arial" w:hAnsi="Arial" w:cs="Arial"/>
                <w:sz w:val="20"/>
                <w:szCs w:val="20"/>
                <w:lang w:eastAsia="ko-KR"/>
              </w:rPr>
              <w:t>A case where all the symbols in a slot are available for sidelink.</w:t>
            </w:r>
          </w:p>
          <w:p w14:paraId="12935705" w14:textId="77777777" w:rsidR="00F2799F" w:rsidRPr="00F2799F" w:rsidRDefault="00F2799F" w:rsidP="00F2799F">
            <w:pPr>
              <w:numPr>
                <w:ilvl w:val="1"/>
                <w:numId w:val="28"/>
              </w:numPr>
              <w:spacing w:before="120" w:after="60"/>
              <w:jc w:val="both"/>
              <w:rPr>
                <w:rFonts w:ascii="Arial" w:hAnsi="Arial" w:cs="Arial"/>
                <w:sz w:val="20"/>
                <w:szCs w:val="20"/>
                <w:lang w:eastAsia="ko-KR"/>
              </w:rPr>
            </w:pPr>
            <w:r w:rsidRPr="00F2799F">
              <w:rPr>
                <w:rFonts w:ascii="Arial" w:hAnsi="Arial" w:cs="Arial"/>
                <w:sz w:val="20"/>
                <w:szCs w:val="20"/>
                <w:lang w:eastAsia="ko-KR"/>
              </w:rPr>
              <w:t>Another case where only a subset of consecutive symbols in a slot is available for sidelink</w:t>
            </w:r>
          </w:p>
          <w:p w14:paraId="397E11BD" w14:textId="77777777" w:rsidR="00F2799F" w:rsidRPr="00F2799F" w:rsidRDefault="00F2799F" w:rsidP="00F2799F">
            <w:pPr>
              <w:numPr>
                <w:ilvl w:val="2"/>
                <w:numId w:val="28"/>
              </w:numPr>
              <w:spacing w:before="120" w:after="60"/>
              <w:jc w:val="both"/>
              <w:rPr>
                <w:rFonts w:ascii="Arial" w:hAnsi="Arial" w:cs="Arial"/>
                <w:sz w:val="20"/>
                <w:szCs w:val="20"/>
                <w:lang w:eastAsia="ko-KR"/>
              </w:rPr>
            </w:pPr>
            <w:r w:rsidRPr="00F2799F">
              <w:rPr>
                <w:rFonts w:ascii="Arial" w:hAnsi="Arial" w:cs="Arial"/>
                <w:sz w:val="20"/>
                <w:szCs w:val="20"/>
                <w:lang w:eastAsia="ko-KR"/>
              </w:rPr>
              <w:t>Note: this case is not intended to be used for the ITS spectra, if there is no forward-compatibility issue. Finalize in the WI phase whether there is such an issue or not</w:t>
            </w:r>
          </w:p>
          <w:p w14:paraId="347B5EF8" w14:textId="77777777" w:rsidR="00F2799F" w:rsidRPr="00F2799F" w:rsidRDefault="00F2799F" w:rsidP="00F2799F">
            <w:pPr>
              <w:numPr>
                <w:ilvl w:val="2"/>
                <w:numId w:val="28"/>
              </w:numPr>
              <w:spacing w:before="120" w:after="60"/>
              <w:jc w:val="both"/>
              <w:rPr>
                <w:rFonts w:ascii="Arial" w:hAnsi="Arial" w:cs="Arial"/>
                <w:sz w:val="20"/>
                <w:szCs w:val="20"/>
                <w:lang w:eastAsia="ko-KR"/>
              </w:rPr>
            </w:pPr>
            <w:r w:rsidRPr="00F2799F">
              <w:rPr>
                <w:rFonts w:ascii="Arial" w:hAnsi="Arial" w:cs="Arial"/>
                <w:sz w:val="20"/>
                <w:szCs w:val="20"/>
                <w:lang w:eastAsia="ko-KR"/>
              </w:rPr>
              <w:t>The subset is NOT dynamically indicated to the UE</w:t>
            </w:r>
          </w:p>
          <w:p w14:paraId="00797A2F" w14:textId="77777777" w:rsidR="004A6A82" w:rsidRDefault="00F2799F" w:rsidP="004A6A82">
            <w:pPr>
              <w:numPr>
                <w:ilvl w:val="2"/>
                <w:numId w:val="28"/>
              </w:numPr>
              <w:spacing w:before="120" w:after="60"/>
              <w:jc w:val="both"/>
              <w:rPr>
                <w:rFonts w:ascii="Arial" w:hAnsi="Arial" w:cs="Arial"/>
                <w:sz w:val="20"/>
                <w:szCs w:val="20"/>
                <w:lang w:eastAsia="ko-KR"/>
              </w:rPr>
            </w:pPr>
            <w:r w:rsidRPr="00F2799F">
              <w:rPr>
                <w:rFonts w:ascii="Arial" w:hAnsi="Arial" w:cs="Arial"/>
                <w:sz w:val="20"/>
                <w:szCs w:val="20"/>
                <w:lang w:eastAsia="ko-KR"/>
              </w:rPr>
              <w:t>FFS the supported slot configuration(s)</w:t>
            </w:r>
          </w:p>
          <w:p w14:paraId="7EF138E1" w14:textId="1A606E70" w:rsidR="00F2799F" w:rsidRPr="004A6A82" w:rsidRDefault="00F2799F" w:rsidP="004A6A82">
            <w:pPr>
              <w:numPr>
                <w:ilvl w:val="2"/>
                <w:numId w:val="28"/>
              </w:numPr>
              <w:spacing w:before="120" w:after="60"/>
              <w:jc w:val="both"/>
              <w:rPr>
                <w:rFonts w:ascii="Arial" w:hAnsi="Arial" w:cs="Arial"/>
                <w:sz w:val="20"/>
                <w:szCs w:val="20"/>
                <w:lang w:eastAsia="ko-KR"/>
              </w:rPr>
            </w:pPr>
            <w:r w:rsidRPr="004A6A82">
              <w:rPr>
                <w:rFonts w:ascii="Arial" w:hAnsi="Arial" w:cs="Arial"/>
                <w:sz w:val="20"/>
                <w:szCs w:val="20"/>
                <w:lang w:eastAsia="ko-KR"/>
              </w:rPr>
              <w:t>FFS whether/how to operate it in partial coverage scenarios</w:t>
            </w:r>
          </w:p>
        </w:tc>
      </w:tr>
    </w:tbl>
    <w:p w14:paraId="75975F18" w14:textId="77777777" w:rsidR="00022E59" w:rsidRPr="00097EC5" w:rsidRDefault="00022E59" w:rsidP="00022E59">
      <w:pPr>
        <w:pStyle w:val="BodyText"/>
        <w:rPr>
          <w:rFonts w:cs="Arial"/>
          <w:lang w:val="en-US"/>
        </w:rPr>
      </w:pPr>
    </w:p>
    <w:p w14:paraId="012DA566" w14:textId="77777777" w:rsidR="00D25B05" w:rsidRPr="00D25B05" w:rsidRDefault="00D25B05" w:rsidP="00022E59">
      <w:pPr>
        <w:pStyle w:val="BodyText"/>
        <w:rPr>
          <w:rFonts w:cs="Arial"/>
        </w:rPr>
      </w:pPr>
    </w:p>
    <w:p w14:paraId="598543EE" w14:textId="55B8FE5A" w:rsidR="00022E59" w:rsidRPr="001E4794" w:rsidRDefault="00022E59" w:rsidP="00022E59">
      <w:pPr>
        <w:pStyle w:val="Heading1"/>
        <w:pBdr>
          <w:top w:val="single" w:sz="12" w:space="0" w:color="auto"/>
        </w:pBdr>
        <w:jc w:val="both"/>
      </w:pPr>
      <w:bookmarkStart w:id="0" w:name="_Ref178064866"/>
      <w:r>
        <w:lastRenderedPageBreak/>
        <w:t xml:space="preserve">2 </w:t>
      </w:r>
      <w:r>
        <w:tab/>
      </w:r>
      <w:r w:rsidR="006437BD">
        <w:t xml:space="preserve">Sidelink operation on shared </w:t>
      </w:r>
      <w:r w:rsidR="006A3F1F">
        <w:t xml:space="preserve">licensed </w:t>
      </w:r>
      <w:r w:rsidR="006437BD">
        <w:t>carrier</w:t>
      </w:r>
    </w:p>
    <w:p w14:paraId="5AB07064" w14:textId="2E6F95EA" w:rsidR="00022E59" w:rsidRPr="00720F17" w:rsidRDefault="00022E59" w:rsidP="00022E59">
      <w:pPr>
        <w:jc w:val="both"/>
        <w:rPr>
          <w:rFonts w:eastAsia="Calibri" w:cs="Arial"/>
          <w:lang w:val="en-US"/>
        </w:rPr>
      </w:pPr>
      <w:r w:rsidRPr="00720F17">
        <w:rPr>
          <w:rFonts w:ascii="Arial" w:eastAsia="Calibri" w:hAnsi="Arial" w:cs="Arial"/>
          <w:lang w:val="en-US"/>
        </w:rPr>
        <w:t xml:space="preserve">In LTE, both FDD and TDD frame structure types are supported for sidelink transmissions both in licensed and unlicensed frequency bands. In all cases, the specification allows sidelink transmissions to happen in uplink resources only. That is, sidelink transmissions take place only in the UL carrier in case of FDD, and in UL subframes in case of TDD. This limitation is of particular importance for licensed frequency bands shared with cellular transmissions. The motivation is to avoid interference to the DL transmissions. </w:t>
      </w:r>
      <w:r w:rsidR="006A3F1F">
        <w:rPr>
          <w:rFonts w:ascii="Arial" w:eastAsia="Calibri" w:hAnsi="Arial" w:cs="Arial"/>
          <w:lang w:val="en-US"/>
        </w:rPr>
        <w:t xml:space="preserve">Although </w:t>
      </w:r>
      <w:r w:rsidRPr="00720F17">
        <w:rPr>
          <w:rFonts w:ascii="Arial" w:eastAsia="Calibri" w:hAnsi="Arial" w:cs="Arial"/>
          <w:lang w:val="en-US"/>
        </w:rPr>
        <w:t xml:space="preserve">many companies </w:t>
      </w:r>
      <w:r w:rsidR="006A3F1F">
        <w:rPr>
          <w:rFonts w:ascii="Arial" w:eastAsia="Calibri" w:hAnsi="Arial" w:cs="Arial"/>
          <w:lang w:val="en-US"/>
        </w:rPr>
        <w:t>aim to</w:t>
      </w:r>
      <w:r w:rsidRPr="00720F17">
        <w:rPr>
          <w:rFonts w:ascii="Arial" w:eastAsia="Calibri" w:hAnsi="Arial" w:cs="Arial"/>
          <w:lang w:val="en-US"/>
        </w:rPr>
        <w:t xml:space="preserve"> inherit the LTE principle of using UL resources for </w:t>
      </w:r>
      <w:r w:rsidR="006A3F1F">
        <w:rPr>
          <w:rFonts w:ascii="Arial" w:eastAsia="Calibri" w:hAnsi="Arial" w:cs="Arial"/>
          <w:lang w:val="en-US"/>
        </w:rPr>
        <w:t>NR SL</w:t>
      </w:r>
      <w:r w:rsidRPr="00720F17">
        <w:rPr>
          <w:rFonts w:ascii="Arial" w:eastAsia="Calibri" w:hAnsi="Arial" w:cs="Arial"/>
          <w:lang w:val="en-US"/>
        </w:rPr>
        <w:t xml:space="preserve">, no agreement </w:t>
      </w:r>
      <w:r w:rsidR="006A3F1F">
        <w:rPr>
          <w:rFonts w:ascii="Arial" w:eastAsia="Calibri" w:hAnsi="Arial" w:cs="Arial"/>
          <w:lang w:val="en-US"/>
        </w:rPr>
        <w:t>was made during the SI</w:t>
      </w:r>
      <w:r w:rsidRPr="00720F17">
        <w:rPr>
          <w:rFonts w:ascii="Arial" w:eastAsia="Calibri" w:hAnsi="Arial" w:cs="Arial"/>
          <w:lang w:val="en-US"/>
        </w:rPr>
        <w:t xml:space="preserve">. </w:t>
      </w:r>
      <w:bookmarkStart w:id="1" w:name="_Toc525927447"/>
      <w:bookmarkStart w:id="2" w:name="_Toc528755029"/>
      <w:bookmarkStart w:id="3" w:name="_Toc528869376"/>
      <w:bookmarkStart w:id="4" w:name="_Toc528869412"/>
      <w:bookmarkStart w:id="5" w:name="_Toc528916057"/>
      <w:bookmarkStart w:id="6" w:name="_Toc528945291"/>
      <w:bookmarkStart w:id="7" w:name="_Toc528947529"/>
      <w:bookmarkStart w:id="8" w:name="_Toc528954032"/>
      <w:bookmarkStart w:id="9" w:name="_Toc531776806"/>
      <w:r w:rsidR="006A3F1F">
        <w:rPr>
          <w:rFonts w:ascii="Arial" w:eastAsia="Calibri" w:hAnsi="Arial" w:cs="Arial"/>
          <w:lang w:val="en-US"/>
        </w:rPr>
        <w:t>In our view</w:t>
      </w:r>
      <w:r w:rsidRPr="00720F17">
        <w:rPr>
          <w:rFonts w:ascii="Arial" w:eastAsia="Calibri" w:hAnsi="Arial" w:cs="Arial"/>
          <w:lang w:val="en-US" w:eastAsia="zh-CN"/>
        </w:rPr>
        <w:t>,</w:t>
      </w:r>
      <w:r w:rsidR="006A3F1F">
        <w:rPr>
          <w:rFonts w:ascii="Arial" w:eastAsia="Calibri" w:hAnsi="Arial" w:cs="Arial"/>
          <w:lang w:val="en-US" w:eastAsia="zh-CN"/>
        </w:rPr>
        <w:t xml:space="preserve"> it is desirable to make such an agreement to focus the design of NR SL during the limited time of WI. Therefore,</w:t>
      </w:r>
      <w:r w:rsidRPr="00720F17">
        <w:rPr>
          <w:rFonts w:ascii="Arial" w:eastAsia="Calibri" w:hAnsi="Arial" w:cs="Arial"/>
          <w:lang w:val="en-US" w:eastAsia="zh-CN"/>
        </w:rPr>
        <w:t xml:space="preserve"> </w:t>
      </w:r>
      <w:r w:rsidR="006A3F1F">
        <w:rPr>
          <w:rFonts w:ascii="Arial" w:eastAsia="Calibri" w:hAnsi="Arial" w:cs="Arial"/>
          <w:lang w:val="en-US" w:eastAsia="zh-CN"/>
        </w:rPr>
        <w:t xml:space="preserve">similar to LTE, </w:t>
      </w:r>
      <w:r w:rsidRPr="00720F17">
        <w:rPr>
          <w:rFonts w:ascii="Arial" w:eastAsia="Calibri" w:hAnsi="Arial" w:cs="Arial"/>
          <w:lang w:val="en-US" w:eastAsia="zh-CN"/>
        </w:rPr>
        <w:t>NR sidelink should be designed under the assumption that resources may be shared by SL and UL transmissions but not by SL and DL transmissions</w:t>
      </w:r>
      <w:r w:rsidR="006A3F1F">
        <w:rPr>
          <w:rFonts w:ascii="Arial" w:eastAsia="Calibri" w:hAnsi="Arial" w:cs="Arial"/>
          <w:lang w:val="en-US" w:eastAsia="zh-CN"/>
        </w:rPr>
        <w:t xml:space="preserve"> in case of licensed carrier</w:t>
      </w:r>
      <w:r w:rsidRPr="00720F17">
        <w:rPr>
          <w:rFonts w:ascii="Arial" w:eastAsia="Calibri" w:hAnsi="Arial" w:cs="Arial"/>
          <w:lang w:val="en-US" w:eastAsia="zh-CN"/>
        </w:rPr>
        <w:t>.</w:t>
      </w:r>
    </w:p>
    <w:p w14:paraId="3DD48D23" w14:textId="77777777" w:rsidR="00022E59" w:rsidRPr="00720F17" w:rsidRDefault="00022E59" w:rsidP="00AA5267">
      <w:pPr>
        <w:pStyle w:val="Proposal"/>
        <w:rPr>
          <w:rFonts w:eastAsia="Calibri"/>
          <w:lang w:val="en-US"/>
        </w:rPr>
      </w:pPr>
      <w:bookmarkStart w:id="10" w:name="_Toc534897271"/>
      <w:bookmarkStart w:id="11" w:name="_Toc770499"/>
      <w:bookmarkStart w:id="12" w:name="_Toc1150906"/>
      <w:bookmarkStart w:id="13" w:name="_Toc4452195"/>
      <w:bookmarkStart w:id="14" w:name="_Toc5119930"/>
      <w:bookmarkEnd w:id="1"/>
      <w:bookmarkEnd w:id="2"/>
      <w:bookmarkEnd w:id="3"/>
      <w:bookmarkEnd w:id="4"/>
      <w:bookmarkEnd w:id="5"/>
      <w:bookmarkEnd w:id="6"/>
      <w:bookmarkEnd w:id="7"/>
      <w:bookmarkEnd w:id="8"/>
      <w:bookmarkEnd w:id="9"/>
      <w:r w:rsidRPr="00720F17">
        <w:rPr>
          <w:rFonts w:eastAsia="Calibri"/>
          <w:lang w:val="en-US"/>
        </w:rPr>
        <w:t>NR sidelink is designed under the assumption that SL transmissions may only share resources with UL transmissions.</w:t>
      </w:r>
      <w:bookmarkEnd w:id="10"/>
      <w:bookmarkEnd w:id="11"/>
      <w:bookmarkEnd w:id="12"/>
      <w:bookmarkEnd w:id="13"/>
      <w:bookmarkEnd w:id="14"/>
    </w:p>
    <w:p w14:paraId="13E97C68" w14:textId="41A128F1" w:rsidR="007A50C4" w:rsidRDefault="006A3F1F" w:rsidP="00022E59">
      <w:pPr>
        <w:jc w:val="both"/>
        <w:rPr>
          <w:rFonts w:ascii="Arial" w:eastAsia="Calibri" w:hAnsi="Arial" w:cs="Arial"/>
          <w:lang w:val="en-US"/>
        </w:rPr>
      </w:pPr>
      <w:r w:rsidRPr="00720F17">
        <w:rPr>
          <w:rFonts w:ascii="Arial" w:eastAsia="Calibri" w:hAnsi="Arial" w:cs="Arial"/>
          <w:lang w:val="en-US"/>
        </w:rPr>
        <w:t>In contrast to LTE TDD</w:t>
      </w:r>
      <w:r>
        <w:rPr>
          <w:rFonts w:ascii="Arial" w:eastAsia="Calibri" w:hAnsi="Arial" w:cs="Arial"/>
          <w:lang w:val="en-US"/>
        </w:rPr>
        <w:t>,</w:t>
      </w:r>
      <w:r w:rsidRPr="00720F17">
        <w:rPr>
          <w:rFonts w:ascii="Arial" w:eastAsia="Calibri" w:hAnsi="Arial" w:cs="Arial"/>
          <w:lang w:val="en-US"/>
        </w:rPr>
        <w:t xml:space="preserve"> where UL and DL </w:t>
      </w:r>
      <w:r>
        <w:rPr>
          <w:rFonts w:ascii="Arial" w:eastAsia="Calibri" w:hAnsi="Arial" w:cs="Arial"/>
          <w:lang w:val="en-US"/>
        </w:rPr>
        <w:t>subframe configuration</w:t>
      </w:r>
      <w:r w:rsidRPr="00720F17">
        <w:rPr>
          <w:rFonts w:ascii="Arial" w:eastAsia="Calibri" w:hAnsi="Arial" w:cs="Arial"/>
          <w:lang w:val="en-US"/>
        </w:rPr>
        <w:t xml:space="preserve"> </w:t>
      </w:r>
      <w:r>
        <w:rPr>
          <w:rFonts w:ascii="Arial" w:eastAsia="Calibri" w:hAnsi="Arial" w:cs="Arial"/>
          <w:lang w:val="en-US"/>
        </w:rPr>
        <w:t>is quite static (i.e. semi-statically configured)</w:t>
      </w:r>
      <w:r w:rsidRPr="00720F17">
        <w:rPr>
          <w:rFonts w:ascii="Arial" w:eastAsia="Calibri" w:hAnsi="Arial" w:cs="Arial"/>
          <w:lang w:val="en-US"/>
        </w:rPr>
        <w:t xml:space="preserve">, NR supports dynamic TDD. To this end, different slot formats containing </w:t>
      </w:r>
      <w:r>
        <w:rPr>
          <w:rFonts w:ascii="Arial" w:eastAsia="Calibri" w:hAnsi="Arial" w:cs="Arial"/>
          <w:lang w:val="en-US"/>
        </w:rPr>
        <w:t>DL, UL</w:t>
      </w:r>
      <w:r w:rsidRPr="00720F17">
        <w:rPr>
          <w:rFonts w:ascii="Arial" w:eastAsia="Calibri" w:hAnsi="Arial" w:cs="Arial"/>
          <w:lang w:val="en-US"/>
        </w:rPr>
        <w:t xml:space="preserve"> and flexible (X) symbols are defined in NR. Flexible symbols </w:t>
      </w:r>
      <w:r>
        <w:rPr>
          <w:rFonts w:ascii="Arial" w:eastAsia="Calibri" w:hAnsi="Arial" w:cs="Arial"/>
          <w:lang w:val="en-US"/>
        </w:rPr>
        <w:t>can be</w:t>
      </w:r>
      <w:r w:rsidRPr="00720F17">
        <w:rPr>
          <w:rFonts w:ascii="Arial" w:eastAsia="Calibri" w:hAnsi="Arial" w:cs="Arial"/>
          <w:lang w:val="en-US"/>
        </w:rPr>
        <w:t xml:space="preserve"> dynamically configured</w:t>
      </w:r>
      <w:r>
        <w:rPr>
          <w:rFonts w:ascii="Arial" w:eastAsia="Calibri" w:hAnsi="Arial" w:cs="Arial"/>
          <w:lang w:val="en-US"/>
        </w:rPr>
        <w:t xml:space="preserve"> by </w:t>
      </w:r>
      <w:proofErr w:type="spellStart"/>
      <w:r>
        <w:rPr>
          <w:rFonts w:ascii="Arial" w:eastAsia="Calibri" w:hAnsi="Arial" w:cs="Arial"/>
          <w:lang w:val="en-US"/>
        </w:rPr>
        <w:t>gNB</w:t>
      </w:r>
      <w:proofErr w:type="spellEnd"/>
      <w:r w:rsidRPr="00720F17">
        <w:rPr>
          <w:rFonts w:ascii="Arial" w:eastAsia="Calibri" w:hAnsi="Arial" w:cs="Arial"/>
          <w:lang w:val="en-US"/>
        </w:rPr>
        <w:t xml:space="preserve"> to be used as either </w:t>
      </w:r>
      <w:r>
        <w:rPr>
          <w:rFonts w:ascii="Arial" w:eastAsia="Calibri" w:hAnsi="Arial" w:cs="Arial"/>
          <w:lang w:val="en-US"/>
        </w:rPr>
        <w:t>UL</w:t>
      </w:r>
      <w:r w:rsidRPr="00720F17">
        <w:rPr>
          <w:rFonts w:ascii="Arial" w:eastAsia="Calibri" w:hAnsi="Arial" w:cs="Arial"/>
          <w:lang w:val="en-US"/>
        </w:rPr>
        <w:t xml:space="preserve"> or </w:t>
      </w:r>
      <w:r>
        <w:rPr>
          <w:rFonts w:ascii="Arial" w:eastAsia="Calibri" w:hAnsi="Arial" w:cs="Arial"/>
          <w:lang w:val="en-US"/>
        </w:rPr>
        <w:t>DL</w:t>
      </w:r>
      <w:r w:rsidR="00022E59" w:rsidRPr="00097EC5">
        <w:rPr>
          <w:rFonts w:ascii="Arial" w:eastAsia="Calibri" w:hAnsi="Arial" w:cs="Arial"/>
          <w:lang w:val="en-US"/>
        </w:rPr>
        <w:t xml:space="preserve">. Furthermore, the slot structure in NR can be </w:t>
      </w:r>
      <w:r w:rsidR="00121E3D" w:rsidRPr="00097EC5">
        <w:rPr>
          <w:rFonts w:ascii="Arial" w:eastAsia="Calibri" w:hAnsi="Arial" w:cs="Arial"/>
          <w:lang w:val="en-US"/>
        </w:rPr>
        <w:t>signaled</w:t>
      </w:r>
      <w:r w:rsidR="00022E59" w:rsidRPr="00097EC5">
        <w:rPr>
          <w:rFonts w:ascii="Arial" w:eastAsia="Calibri" w:hAnsi="Arial" w:cs="Arial"/>
          <w:lang w:val="en-US"/>
        </w:rPr>
        <w:t xml:space="preserve"> in </w:t>
      </w:r>
      <w:r w:rsidR="00121E3D">
        <w:rPr>
          <w:rFonts w:ascii="Arial" w:eastAsia="Calibri" w:hAnsi="Arial" w:cs="Arial"/>
          <w:lang w:val="en-US"/>
        </w:rPr>
        <w:t xml:space="preserve">a UE </w:t>
      </w:r>
      <w:r w:rsidR="00022E59" w:rsidRPr="00097EC5">
        <w:rPr>
          <w:rFonts w:ascii="Arial" w:eastAsia="Calibri" w:hAnsi="Arial" w:cs="Arial"/>
          <w:lang w:val="en-US"/>
        </w:rPr>
        <w:t>specific manne</w:t>
      </w:r>
      <w:bookmarkStart w:id="15" w:name="_GoBack"/>
      <w:bookmarkEnd w:id="15"/>
      <w:r w:rsidR="00022E59" w:rsidRPr="00097EC5">
        <w:rPr>
          <w:rFonts w:ascii="Arial" w:eastAsia="Calibri" w:hAnsi="Arial" w:cs="Arial"/>
          <w:lang w:val="en-US"/>
        </w:rPr>
        <w:t xml:space="preserve">r. This means that different </w:t>
      </w:r>
      <w:r w:rsidR="00121E3D">
        <w:rPr>
          <w:rFonts w:ascii="Arial" w:eastAsia="Calibri" w:hAnsi="Arial" w:cs="Arial"/>
          <w:lang w:val="en-US"/>
        </w:rPr>
        <w:t>UEs</w:t>
      </w:r>
      <w:r w:rsidR="00022E59" w:rsidRPr="00097EC5">
        <w:rPr>
          <w:rFonts w:ascii="Arial" w:eastAsia="Calibri" w:hAnsi="Arial" w:cs="Arial"/>
          <w:lang w:val="en-US"/>
        </w:rPr>
        <w:t xml:space="preserve"> may result in different interpretation of a symbol to be used as UL/DL/X. This flexibility and device specific configuration potentially bring several challenges to SL slot structure design </w:t>
      </w:r>
      <w:r w:rsidR="00121E3D">
        <w:rPr>
          <w:rFonts w:ascii="Arial" w:eastAsia="Calibri" w:hAnsi="Arial" w:cs="Arial"/>
          <w:lang w:val="en-US"/>
        </w:rPr>
        <w:t xml:space="preserve">in shared licensed carrier. For instance, if a UE assumes that only UL resources are available for its SL transmissions, it may result in different UEs having different interpretation of resources available for SL since TDD configuration may be done in UE specific manner in NR. </w:t>
      </w:r>
    </w:p>
    <w:p w14:paraId="49691B78" w14:textId="5B848817" w:rsidR="00022E59" w:rsidRPr="00097EC5" w:rsidRDefault="00022E59" w:rsidP="007A50C4">
      <w:pPr>
        <w:pStyle w:val="Observation"/>
        <w:rPr>
          <w:rFonts w:eastAsia="Calibri"/>
          <w:lang w:val="en-US"/>
        </w:rPr>
      </w:pPr>
      <w:r w:rsidRPr="00097EC5">
        <w:rPr>
          <w:rFonts w:eastAsia="Calibri"/>
          <w:lang w:val="en-US"/>
        </w:rPr>
        <w:t xml:space="preserve"> </w:t>
      </w:r>
      <w:bookmarkStart w:id="16" w:name="_Toc5119928"/>
      <w:r w:rsidR="007A50C4">
        <w:rPr>
          <w:rFonts w:eastAsia="Calibri"/>
          <w:lang w:val="en-US"/>
        </w:rPr>
        <w:t xml:space="preserve">In NR, TDD configuration is provided by </w:t>
      </w:r>
      <w:proofErr w:type="spellStart"/>
      <w:r w:rsidR="007A50C4">
        <w:rPr>
          <w:rFonts w:eastAsia="Calibri"/>
          <w:lang w:val="en-US"/>
        </w:rPr>
        <w:t>gNB</w:t>
      </w:r>
      <w:proofErr w:type="spellEnd"/>
      <w:r w:rsidR="007A50C4">
        <w:rPr>
          <w:rFonts w:eastAsia="Calibri"/>
          <w:lang w:val="en-US"/>
        </w:rPr>
        <w:t xml:space="preserve"> in a UE</w:t>
      </w:r>
      <w:r w:rsidR="00FF2D4A">
        <w:rPr>
          <w:rFonts w:eastAsia="Calibri"/>
          <w:lang w:val="en-US"/>
        </w:rPr>
        <w:t>-</w:t>
      </w:r>
      <w:r w:rsidR="007A50C4">
        <w:rPr>
          <w:rFonts w:eastAsia="Calibri"/>
          <w:lang w:val="en-US"/>
        </w:rPr>
        <w:t xml:space="preserve">dedicated manner and </w:t>
      </w:r>
      <w:proofErr w:type="spellStart"/>
      <w:r w:rsidR="007A50C4">
        <w:rPr>
          <w:rFonts w:eastAsia="Calibri"/>
          <w:lang w:val="en-US"/>
        </w:rPr>
        <w:t>gNB</w:t>
      </w:r>
      <w:proofErr w:type="spellEnd"/>
      <w:r w:rsidR="007A50C4">
        <w:rPr>
          <w:rFonts w:eastAsia="Calibri"/>
          <w:lang w:val="en-US"/>
        </w:rPr>
        <w:t xml:space="preserve"> schedules the UEs to avoid DL-UL interference.</w:t>
      </w:r>
      <w:bookmarkEnd w:id="16"/>
      <w:r w:rsidR="007A50C4">
        <w:rPr>
          <w:rFonts w:eastAsia="Calibri"/>
          <w:lang w:val="en-US"/>
        </w:rPr>
        <w:t xml:space="preserve"> </w:t>
      </w:r>
    </w:p>
    <w:bookmarkEnd w:id="0"/>
    <w:p w14:paraId="1858790C" w14:textId="51633886" w:rsidR="00022E59" w:rsidRPr="00720F17" w:rsidRDefault="007A50C4" w:rsidP="00022E59">
      <w:pPr>
        <w:jc w:val="both"/>
        <w:rPr>
          <w:rFonts w:ascii="Arial" w:eastAsia="Calibri" w:hAnsi="Arial" w:cs="Arial"/>
          <w:lang w:val="en-US"/>
        </w:rPr>
      </w:pPr>
      <w:r>
        <w:rPr>
          <w:rFonts w:ascii="Arial" w:eastAsia="Calibri" w:hAnsi="Arial" w:cs="Arial"/>
          <w:lang w:val="en-US"/>
        </w:rPr>
        <w:t xml:space="preserve">One possible solution is to make sure that the same TDD configuration is followed by all the UEs in the system (similar to LTE), however it takes away the NR flexibility in case different UEs have different UL and DL traffic load. Therefore, following the same principle as of NR </w:t>
      </w:r>
      <w:proofErr w:type="spellStart"/>
      <w:r>
        <w:rPr>
          <w:rFonts w:ascii="Arial" w:eastAsia="Calibri" w:hAnsi="Arial" w:cs="Arial"/>
          <w:lang w:val="en-US"/>
        </w:rPr>
        <w:t>Uu</w:t>
      </w:r>
      <w:proofErr w:type="spellEnd"/>
      <w:r>
        <w:rPr>
          <w:rFonts w:ascii="Arial" w:eastAsia="Calibri" w:hAnsi="Arial" w:cs="Arial"/>
          <w:lang w:val="en-US"/>
        </w:rPr>
        <w:t xml:space="preserve">, </w:t>
      </w:r>
      <w:r w:rsidR="00022E59" w:rsidRPr="00720F17">
        <w:rPr>
          <w:rFonts w:ascii="Arial" w:eastAsia="Calibri" w:hAnsi="Arial" w:cs="Arial"/>
          <w:lang w:val="en-US"/>
        </w:rPr>
        <w:t xml:space="preserve">we believe that it is necessary to </w:t>
      </w:r>
      <w:r>
        <w:rPr>
          <w:rFonts w:ascii="Arial" w:eastAsia="Calibri" w:hAnsi="Arial" w:cs="Arial"/>
          <w:lang w:val="en-US"/>
        </w:rPr>
        <w:t>configure</w:t>
      </w:r>
      <w:r w:rsidR="00022E59" w:rsidRPr="00720F17">
        <w:rPr>
          <w:rFonts w:ascii="Arial" w:eastAsia="Calibri" w:hAnsi="Arial" w:cs="Arial"/>
          <w:lang w:val="en-US"/>
        </w:rPr>
        <w:t xml:space="preserve"> the resources as ‘SL-allowed’ or ‘SL-prohibited’ independently of </w:t>
      </w:r>
      <w:r>
        <w:rPr>
          <w:rFonts w:ascii="Arial" w:eastAsia="Calibri" w:hAnsi="Arial" w:cs="Arial"/>
          <w:lang w:val="en-US"/>
        </w:rPr>
        <w:t xml:space="preserve">UL/DL/X symbols </w:t>
      </w:r>
      <w:r w:rsidR="00022E59" w:rsidRPr="00720F17">
        <w:rPr>
          <w:rFonts w:ascii="Arial" w:eastAsia="Calibri" w:hAnsi="Arial" w:cs="Arial"/>
          <w:lang w:val="en-US"/>
        </w:rPr>
        <w:t xml:space="preserve">configurations. </w:t>
      </w:r>
      <w:r>
        <w:rPr>
          <w:rFonts w:ascii="Arial" w:eastAsia="Calibri" w:hAnsi="Arial" w:cs="Arial"/>
          <w:lang w:val="en-US"/>
        </w:rPr>
        <w:t xml:space="preserve">Furthermore, this configuration </w:t>
      </w:r>
      <w:r w:rsidR="00C443F3">
        <w:rPr>
          <w:rFonts w:ascii="Arial" w:eastAsia="Calibri" w:hAnsi="Arial" w:cs="Arial"/>
          <w:lang w:val="en-US"/>
        </w:rPr>
        <w:t>should be common to all UEs so that they have the same notion of starting and ending position of SL slots.</w:t>
      </w:r>
    </w:p>
    <w:p w14:paraId="15288313" w14:textId="667C5640" w:rsidR="00022E59" w:rsidRDefault="00022E59" w:rsidP="00022E59">
      <w:pPr>
        <w:pStyle w:val="Proposal"/>
        <w:spacing w:line="259" w:lineRule="auto"/>
        <w:rPr>
          <w:rFonts w:eastAsia="Calibri" w:cs="Arial"/>
          <w:lang w:val="en-US"/>
        </w:rPr>
      </w:pPr>
      <w:bookmarkStart w:id="17" w:name="_Toc525766493"/>
      <w:bookmarkStart w:id="18" w:name="_Toc525811189"/>
      <w:bookmarkStart w:id="19" w:name="_Toc525927448"/>
      <w:bookmarkStart w:id="20" w:name="_Toc528755030"/>
      <w:bookmarkStart w:id="21" w:name="_Toc528869377"/>
      <w:bookmarkStart w:id="22" w:name="_Toc528869413"/>
      <w:bookmarkStart w:id="23" w:name="_Toc528916058"/>
      <w:bookmarkStart w:id="24" w:name="_Toc528945292"/>
      <w:bookmarkStart w:id="25" w:name="_Toc528947530"/>
      <w:bookmarkStart w:id="26" w:name="_Toc528954033"/>
      <w:bookmarkStart w:id="27" w:name="_Toc531776807"/>
      <w:bookmarkStart w:id="28" w:name="_Toc534897273"/>
      <w:bookmarkStart w:id="29" w:name="_Toc770501"/>
      <w:bookmarkStart w:id="30" w:name="_Toc1150908"/>
      <w:bookmarkStart w:id="31" w:name="_Toc5119931"/>
      <w:bookmarkEnd w:id="17"/>
      <w:bookmarkEnd w:id="18"/>
      <w:r w:rsidRPr="00720F17">
        <w:rPr>
          <w:rFonts w:eastAsia="Calibri" w:cs="Arial"/>
          <w:lang w:val="en-US"/>
        </w:rPr>
        <w:t>Categorize resources as ‘SL-allowed’ or ‘SL-prohibited’ independently of UL/DL/X</w:t>
      </w:r>
      <w:r w:rsidRPr="008C1985">
        <w:rPr>
          <w:rFonts w:eastAsia="Calibri" w:cs="Arial"/>
          <w:lang w:val="en-US"/>
        </w:rPr>
        <w:t xml:space="preserve"> configuration</w:t>
      </w:r>
      <w:r w:rsidRPr="00720F17">
        <w:rPr>
          <w:rFonts w:eastAsia="Calibri" w:cs="Arial"/>
          <w:lang w:val="en-US"/>
        </w:rPr>
        <w:t>.</w:t>
      </w:r>
      <w:bookmarkEnd w:id="19"/>
      <w:bookmarkEnd w:id="20"/>
      <w:bookmarkEnd w:id="21"/>
      <w:bookmarkEnd w:id="22"/>
      <w:bookmarkEnd w:id="23"/>
      <w:bookmarkEnd w:id="24"/>
      <w:bookmarkEnd w:id="25"/>
      <w:bookmarkEnd w:id="26"/>
      <w:bookmarkEnd w:id="27"/>
      <w:r w:rsidRPr="00244A35">
        <w:rPr>
          <w:rFonts w:eastAsia="Calibri" w:cs="Arial"/>
          <w:lang w:val="en-US"/>
        </w:rPr>
        <w:t xml:space="preserve"> </w:t>
      </w:r>
      <w:r w:rsidRPr="00720F17">
        <w:rPr>
          <w:rFonts w:eastAsia="Calibri" w:cs="Arial"/>
          <w:lang w:val="en-US"/>
        </w:rPr>
        <w:t>It is up to the network to provide a configuration that is compatible with the assumption in Proposal 1</w:t>
      </w:r>
      <w:r w:rsidRPr="008C1985">
        <w:rPr>
          <w:rFonts w:eastAsia="Calibri" w:cs="Arial"/>
          <w:lang w:val="en-US"/>
        </w:rPr>
        <w:t xml:space="preserve"> and targets all NR V2X scenarios</w:t>
      </w:r>
      <w:r w:rsidRPr="00720F17">
        <w:rPr>
          <w:rFonts w:eastAsia="Calibri" w:cs="Arial"/>
          <w:lang w:val="en-US"/>
        </w:rPr>
        <w:t>.</w:t>
      </w:r>
      <w:bookmarkEnd w:id="28"/>
      <w:bookmarkEnd w:id="29"/>
      <w:bookmarkEnd w:id="30"/>
      <w:bookmarkEnd w:id="31"/>
    </w:p>
    <w:p w14:paraId="4B05D2D4" w14:textId="5C45BBFF" w:rsidR="00C443F3" w:rsidRDefault="00C443F3" w:rsidP="00022E59">
      <w:pPr>
        <w:pStyle w:val="Proposal"/>
        <w:spacing w:line="259" w:lineRule="auto"/>
        <w:rPr>
          <w:rFonts w:eastAsia="Calibri" w:cs="Arial"/>
          <w:lang w:val="en-US"/>
        </w:rPr>
      </w:pPr>
      <w:bookmarkStart w:id="32" w:name="_Toc5119932"/>
      <w:r>
        <w:rPr>
          <w:rFonts w:eastAsia="Calibri" w:cs="Arial"/>
          <w:lang w:val="en-US"/>
        </w:rPr>
        <w:t>RRC configuration defining SL-allowed symbols in shared carrier is common to all the UEs.</w:t>
      </w:r>
      <w:bookmarkEnd w:id="32"/>
      <w:r>
        <w:rPr>
          <w:rFonts w:eastAsia="Calibri" w:cs="Arial"/>
          <w:lang w:val="en-US"/>
        </w:rPr>
        <w:t xml:space="preserve"> </w:t>
      </w:r>
    </w:p>
    <w:p w14:paraId="3D4D30E4" w14:textId="4E2BE14C" w:rsidR="007A50C4" w:rsidRDefault="00C443F3" w:rsidP="00C443F3">
      <w:pPr>
        <w:pStyle w:val="Heading1"/>
        <w:rPr>
          <w:rFonts w:eastAsia="Calibri"/>
          <w:lang w:val="en-US"/>
        </w:rPr>
      </w:pPr>
      <w:r>
        <w:rPr>
          <w:rFonts w:eastAsia="Calibri"/>
          <w:lang w:val="en-US"/>
        </w:rPr>
        <w:t>3</w:t>
      </w:r>
      <w:r>
        <w:rPr>
          <w:rFonts w:eastAsia="Calibri"/>
          <w:lang w:val="en-US"/>
        </w:rPr>
        <w:tab/>
        <w:t>SL operation using short</w:t>
      </w:r>
      <w:r w:rsidR="00DE6E2C">
        <w:rPr>
          <w:rFonts w:eastAsia="Calibri"/>
          <w:lang w:val="en-US"/>
        </w:rPr>
        <w:t>-</w:t>
      </w:r>
      <w:r>
        <w:rPr>
          <w:rFonts w:eastAsia="Calibri"/>
          <w:lang w:val="en-US"/>
        </w:rPr>
        <w:t xml:space="preserve">slot </w:t>
      </w:r>
    </w:p>
    <w:p w14:paraId="26780CDA" w14:textId="1CF99697" w:rsidR="00B848A6" w:rsidRPr="00AA5267" w:rsidRDefault="008F065B" w:rsidP="00AA5267">
      <w:pPr>
        <w:jc w:val="both"/>
        <w:rPr>
          <w:rFonts w:ascii="Arial" w:eastAsia="Calibri" w:hAnsi="Arial" w:cs="Arial"/>
          <w:lang w:val="en-US"/>
        </w:rPr>
      </w:pPr>
      <w:r w:rsidRPr="00AA5267">
        <w:rPr>
          <w:rFonts w:ascii="Arial" w:eastAsia="Calibri" w:hAnsi="Arial" w:cs="Arial"/>
          <w:lang w:val="en-US"/>
        </w:rPr>
        <w:t xml:space="preserve">During the SI, it was agreed to support the case when not all symbols in a slot is available for SL transmissions/receptions. This is particularly important for the shared licensed carrier when a slot contains both UL and DL symbols as described in Section 2 above. Although short-slots is not intended to be used for dedicated (unlicensed) spectra, it may happen in future that some latency critical services with small data payload also occur in </w:t>
      </w:r>
      <w:r w:rsidR="00A70A40">
        <w:rPr>
          <w:rFonts w:ascii="Arial" w:eastAsia="Calibri" w:hAnsi="Arial" w:cs="Arial"/>
          <w:lang w:val="en-US"/>
        </w:rPr>
        <w:t xml:space="preserve">the </w:t>
      </w:r>
      <w:r w:rsidRPr="00AA5267">
        <w:rPr>
          <w:rFonts w:ascii="Arial" w:eastAsia="Calibri" w:hAnsi="Arial" w:cs="Arial"/>
          <w:lang w:val="en-US"/>
        </w:rPr>
        <w:t xml:space="preserve">same </w:t>
      </w:r>
      <w:r w:rsidRPr="00AA5267">
        <w:rPr>
          <w:rFonts w:ascii="Arial" w:eastAsia="Calibri" w:hAnsi="Arial" w:cs="Arial"/>
          <w:lang w:val="en-US"/>
        </w:rPr>
        <w:lastRenderedPageBreak/>
        <w:t>spectra. In this case, it may be possible to configure all the UEs to operate with short slots</w:t>
      </w:r>
      <w:r w:rsidR="00924852" w:rsidRPr="00AA5267">
        <w:rPr>
          <w:rFonts w:ascii="Arial" w:eastAsia="Calibri" w:hAnsi="Arial" w:cs="Arial"/>
          <w:lang w:val="en-US"/>
        </w:rPr>
        <w:t xml:space="preserve">. However, in our view, this should be up to network to (pre-)configure and the slot configuration should be common to all the UEs. Such common configuration will avoid the unnecessary AGC issues and design complications in case of coexisting slots of different lengths.  </w:t>
      </w:r>
      <w:r w:rsidRPr="00AA5267">
        <w:rPr>
          <w:rFonts w:ascii="Arial" w:eastAsia="Calibri" w:hAnsi="Arial" w:cs="Arial"/>
          <w:lang w:val="en-US"/>
        </w:rPr>
        <w:t xml:space="preserve"> </w:t>
      </w:r>
    </w:p>
    <w:p w14:paraId="2B617699" w14:textId="557308B6" w:rsidR="00924852" w:rsidRDefault="00924852" w:rsidP="00924852">
      <w:pPr>
        <w:pStyle w:val="Observation"/>
        <w:rPr>
          <w:rFonts w:eastAsia="Calibri"/>
          <w:lang w:val="en-US"/>
        </w:rPr>
      </w:pPr>
      <w:bookmarkStart w:id="33" w:name="_Toc5119929"/>
      <w:r>
        <w:rPr>
          <w:rFonts w:eastAsia="Calibri"/>
          <w:lang w:val="en-US"/>
        </w:rPr>
        <w:t>Pre-configuration may allow UEs to operate in short-slot format in unlicensed carrier, if needed for future scenarios.</w:t>
      </w:r>
      <w:bookmarkEnd w:id="33"/>
    </w:p>
    <w:p w14:paraId="7924763A" w14:textId="2758E2C9" w:rsidR="00924852" w:rsidRPr="008F065B" w:rsidRDefault="00924852" w:rsidP="00924852">
      <w:pPr>
        <w:pStyle w:val="Proposal"/>
        <w:rPr>
          <w:rFonts w:eastAsia="Calibri"/>
          <w:lang w:val="en-US"/>
        </w:rPr>
      </w:pPr>
      <w:bookmarkStart w:id="34" w:name="_Toc5119933"/>
      <w:r>
        <w:rPr>
          <w:rFonts w:eastAsia="Calibri"/>
          <w:lang w:val="en-US"/>
        </w:rPr>
        <w:t>Slot format is preconfigured in a cell</w:t>
      </w:r>
      <w:r w:rsidR="005345BA">
        <w:rPr>
          <w:rFonts w:eastAsia="Calibri"/>
          <w:lang w:val="en-US"/>
        </w:rPr>
        <w:t>-</w:t>
      </w:r>
      <w:r>
        <w:rPr>
          <w:rFonts w:eastAsia="Calibri"/>
          <w:lang w:val="en-US"/>
        </w:rPr>
        <w:t>specific manner</w:t>
      </w:r>
      <w:r w:rsidR="005345BA">
        <w:rPr>
          <w:rFonts w:eastAsia="Calibri"/>
          <w:lang w:val="en-US"/>
        </w:rPr>
        <w:t>,</w:t>
      </w:r>
      <w:r>
        <w:rPr>
          <w:rFonts w:eastAsia="Calibri"/>
          <w:lang w:val="en-US"/>
        </w:rPr>
        <w:t xml:space="preserve"> i.e.</w:t>
      </w:r>
      <w:r w:rsidR="005345BA">
        <w:rPr>
          <w:rFonts w:eastAsia="Calibri"/>
          <w:lang w:val="en-US"/>
        </w:rPr>
        <w:t>,</w:t>
      </w:r>
      <w:r>
        <w:rPr>
          <w:rFonts w:eastAsia="Calibri"/>
          <w:lang w:val="en-US"/>
        </w:rPr>
        <w:t xml:space="preserve"> all the UEs use </w:t>
      </w:r>
      <w:r w:rsidR="005345BA">
        <w:rPr>
          <w:rFonts w:eastAsia="Calibri"/>
          <w:lang w:val="en-US"/>
        </w:rPr>
        <w:t xml:space="preserve">the </w:t>
      </w:r>
      <w:r>
        <w:rPr>
          <w:rFonts w:eastAsia="Calibri"/>
          <w:lang w:val="en-US"/>
        </w:rPr>
        <w:t>same slot configuration.</w:t>
      </w:r>
      <w:bookmarkEnd w:id="34"/>
    </w:p>
    <w:p w14:paraId="02E6654D" w14:textId="134305DF" w:rsidR="00B848A6" w:rsidRPr="00AA5267" w:rsidRDefault="000037B7" w:rsidP="00AA5267">
      <w:pPr>
        <w:jc w:val="both"/>
        <w:rPr>
          <w:rFonts w:ascii="Arial" w:eastAsia="Calibri" w:hAnsi="Arial" w:cs="Arial"/>
          <w:lang w:val="en-US"/>
        </w:rPr>
      </w:pPr>
      <w:r w:rsidRPr="00AA5267">
        <w:rPr>
          <w:rFonts w:ascii="Arial" w:eastAsia="Calibri" w:hAnsi="Arial" w:cs="Arial"/>
          <w:lang w:val="en-US"/>
        </w:rPr>
        <w:t>W</w:t>
      </w:r>
      <w:r w:rsidR="00924852" w:rsidRPr="00AA5267">
        <w:rPr>
          <w:rFonts w:ascii="Arial" w:eastAsia="Calibri" w:hAnsi="Arial" w:cs="Arial"/>
          <w:lang w:val="en-US"/>
        </w:rPr>
        <w:t>hen it comes to</w:t>
      </w:r>
      <w:r w:rsidR="004E309C">
        <w:rPr>
          <w:rFonts w:ascii="Arial" w:eastAsia="Calibri" w:hAnsi="Arial" w:cs="Arial"/>
          <w:lang w:val="en-US"/>
        </w:rPr>
        <w:t xml:space="preserve"> physical</w:t>
      </w:r>
      <w:r w:rsidR="00924852" w:rsidRPr="00AA5267">
        <w:rPr>
          <w:rFonts w:ascii="Arial" w:eastAsia="Calibri" w:hAnsi="Arial" w:cs="Arial"/>
          <w:lang w:val="en-US"/>
        </w:rPr>
        <w:t xml:space="preserve"> </w:t>
      </w:r>
      <w:r w:rsidR="004E309C">
        <w:rPr>
          <w:rFonts w:ascii="Arial" w:eastAsia="Calibri" w:hAnsi="Arial" w:cs="Arial"/>
          <w:lang w:val="en-US"/>
        </w:rPr>
        <w:t xml:space="preserve">layer </w:t>
      </w:r>
      <w:r w:rsidR="00075631" w:rsidRPr="00AA5267">
        <w:rPr>
          <w:rFonts w:ascii="Arial" w:eastAsia="Calibri" w:hAnsi="Arial" w:cs="Arial"/>
          <w:lang w:val="en-US"/>
        </w:rPr>
        <w:t>design of slot and short slot, we do not foresee any difference. That is, a short slot uses the same design as that of full slot format. In particular, a short slot contains AGC symbol, PSCCH symbol(s), PSSCH symbols, PSFCH symbol (may or may not be present, similar to full slot design) and symbol used for GP. Furthermore, similar to full slot, short slots can also be aggregated together for the transmission of large data packets.</w:t>
      </w:r>
    </w:p>
    <w:p w14:paraId="333D6495" w14:textId="3395DC67" w:rsidR="00075631" w:rsidRDefault="00075631" w:rsidP="00075631">
      <w:pPr>
        <w:pStyle w:val="Proposal"/>
        <w:rPr>
          <w:rFonts w:eastAsia="Calibri"/>
          <w:lang w:val="en-US"/>
        </w:rPr>
      </w:pPr>
      <w:bookmarkStart w:id="35" w:name="_Toc5119934"/>
      <w:r>
        <w:rPr>
          <w:rFonts w:eastAsia="Calibri"/>
          <w:lang w:val="en-US"/>
        </w:rPr>
        <w:t>Short</w:t>
      </w:r>
      <w:r w:rsidR="00DE6E2C">
        <w:rPr>
          <w:rFonts w:eastAsia="Calibri"/>
          <w:lang w:val="en-US"/>
        </w:rPr>
        <w:t>-</w:t>
      </w:r>
      <w:r>
        <w:rPr>
          <w:rFonts w:eastAsia="Calibri"/>
          <w:lang w:val="en-US"/>
        </w:rPr>
        <w:t>slot used for SL mimics the design of full slot structure.</w:t>
      </w:r>
      <w:bookmarkEnd w:id="35"/>
    </w:p>
    <w:p w14:paraId="5DFC3AC0" w14:textId="0BDC21E8" w:rsidR="00075631" w:rsidRDefault="000037B7" w:rsidP="00EF3372">
      <w:pPr>
        <w:jc w:val="both"/>
        <w:rPr>
          <w:rFonts w:ascii="Arial" w:eastAsia="Calibri" w:hAnsi="Arial" w:cs="Arial"/>
          <w:lang w:val="en-US"/>
        </w:rPr>
      </w:pPr>
      <w:r w:rsidRPr="00EF3372">
        <w:rPr>
          <w:rFonts w:ascii="Arial" w:eastAsia="Calibri" w:hAnsi="Arial" w:cs="Arial"/>
          <w:lang w:val="en-US"/>
        </w:rPr>
        <w:t xml:space="preserve">However, the use of short-slot for V2X </w:t>
      </w:r>
      <w:r w:rsidR="00EF3372" w:rsidRPr="00EF3372">
        <w:rPr>
          <w:rFonts w:ascii="Arial" w:eastAsia="Calibri" w:hAnsi="Arial" w:cs="Arial"/>
          <w:lang w:val="en-US"/>
        </w:rPr>
        <w:t xml:space="preserve">may results in many limitations in terms of coverage and/or reliability performance. </w:t>
      </w:r>
      <w:r w:rsidR="00EF3372">
        <w:rPr>
          <w:rFonts w:ascii="Arial" w:eastAsia="Calibri" w:hAnsi="Arial" w:cs="Arial"/>
          <w:lang w:val="en-US"/>
        </w:rPr>
        <w:t xml:space="preserve">On </w:t>
      </w:r>
      <w:r w:rsidR="00513D2C">
        <w:rPr>
          <w:rFonts w:ascii="Arial" w:eastAsia="Calibri" w:hAnsi="Arial" w:cs="Arial"/>
          <w:lang w:val="en-US"/>
        </w:rPr>
        <w:t>one</w:t>
      </w:r>
      <w:r w:rsidR="00EF3372">
        <w:rPr>
          <w:rFonts w:ascii="Arial" w:eastAsia="Calibri" w:hAnsi="Arial" w:cs="Arial"/>
          <w:lang w:val="en-US"/>
        </w:rPr>
        <w:t xml:space="preserve"> hand, in order to achieve similar performance, the number of symbols used for PSCCH, PSSCH and PSFCH should remain the same. On the other hand, this may result in longer transmissions and hence increasing the half duplex issues. Therefore, it is important to perform proper evaluations to decide on the minimum short-slot length that could be supported. </w:t>
      </w:r>
    </w:p>
    <w:p w14:paraId="4577C6BD" w14:textId="0C0FC7AE" w:rsidR="00EF3372" w:rsidRPr="00EF3372" w:rsidRDefault="00EF3372" w:rsidP="00AA5267">
      <w:pPr>
        <w:pStyle w:val="Proposal"/>
        <w:rPr>
          <w:rFonts w:eastAsia="Calibri"/>
          <w:lang w:val="en-US"/>
        </w:rPr>
      </w:pPr>
      <w:bookmarkStart w:id="36" w:name="_Toc5119935"/>
      <w:r>
        <w:rPr>
          <w:rFonts w:eastAsia="Calibri"/>
          <w:lang w:val="en-US"/>
        </w:rPr>
        <w:t>RAN1 further studies the minimum supported length for short-slot.</w:t>
      </w:r>
      <w:bookmarkEnd w:id="36"/>
    </w:p>
    <w:p w14:paraId="77542408" w14:textId="77777777" w:rsidR="00AA5267" w:rsidRPr="00AA5267" w:rsidRDefault="00AA5267" w:rsidP="00AA5267">
      <w:pPr>
        <w:jc w:val="both"/>
        <w:rPr>
          <w:rFonts w:ascii="Arial" w:eastAsia="Calibri" w:hAnsi="Arial" w:cs="Arial"/>
          <w:lang w:val="en-US"/>
        </w:rPr>
      </w:pPr>
      <w:r w:rsidRPr="00AA5267">
        <w:rPr>
          <w:rFonts w:ascii="Arial" w:eastAsia="Calibri" w:hAnsi="Arial" w:cs="Arial"/>
          <w:lang w:val="en-US"/>
        </w:rPr>
        <w:t xml:space="preserve">During the SI, the impact of supporting different slot lengths on the operation for partial coverage scenario was discussed. However, we do not foresee any issue related to it since slot configuration will be included in SL-MIB and is transmitted over PSBCH (similar to LTE SL-MIB containing TDD configuration). </w:t>
      </w:r>
    </w:p>
    <w:p w14:paraId="48958AC0" w14:textId="63B8ADEB" w:rsidR="00B848A6" w:rsidRPr="00AA5267" w:rsidRDefault="00AA5267" w:rsidP="00AA5267">
      <w:pPr>
        <w:pStyle w:val="Proposal"/>
        <w:rPr>
          <w:rFonts w:eastAsia="Calibri"/>
          <w:lang w:val="en-US"/>
        </w:rPr>
      </w:pPr>
      <w:bookmarkStart w:id="37" w:name="_Toc5119936"/>
      <w:r w:rsidRPr="00AA5267">
        <w:rPr>
          <w:rFonts w:eastAsia="Calibri"/>
          <w:lang w:val="en-US"/>
        </w:rPr>
        <w:t xml:space="preserve">SL-MIB also contains slot configuration configured by </w:t>
      </w:r>
      <w:proofErr w:type="spellStart"/>
      <w:r w:rsidRPr="00AA5267">
        <w:rPr>
          <w:rFonts w:eastAsia="Calibri"/>
          <w:lang w:val="en-US"/>
        </w:rPr>
        <w:t>gNB</w:t>
      </w:r>
      <w:proofErr w:type="spellEnd"/>
      <w:r w:rsidRPr="00AA5267">
        <w:rPr>
          <w:rFonts w:eastAsia="Calibri"/>
          <w:lang w:val="en-US"/>
        </w:rPr>
        <w:t>.</w:t>
      </w:r>
      <w:bookmarkEnd w:id="37"/>
      <w:r w:rsidRPr="00AA5267">
        <w:rPr>
          <w:rFonts w:eastAsia="Calibri"/>
          <w:lang w:val="en-US"/>
        </w:rPr>
        <w:t xml:space="preserve">  </w:t>
      </w:r>
    </w:p>
    <w:p w14:paraId="4E392ED7" w14:textId="68D67CC8" w:rsidR="00022E59" w:rsidRPr="00F05D6E" w:rsidRDefault="005527DB" w:rsidP="00022E59">
      <w:pPr>
        <w:pStyle w:val="Heading1"/>
        <w:jc w:val="both"/>
      </w:pPr>
      <w:r>
        <w:t>4</w:t>
      </w:r>
      <w:r>
        <w:tab/>
      </w:r>
      <w:r w:rsidR="00022E59" w:rsidRPr="00F05D6E">
        <w:t>Conclusion</w:t>
      </w:r>
    </w:p>
    <w:p w14:paraId="6982CEDC" w14:textId="77777777" w:rsidR="00022E59" w:rsidRDefault="00022E59" w:rsidP="00022E59">
      <w:pPr>
        <w:pStyle w:val="BodyText"/>
        <w:rPr>
          <w:b/>
          <w:bCs/>
        </w:rPr>
      </w:pPr>
      <w:bookmarkStart w:id="38" w:name="_Ref517369951"/>
      <w:r>
        <w:t>In the previous sections</w:t>
      </w:r>
      <w:r w:rsidRPr="00CE0424">
        <w:t xml:space="preserve"> we </w:t>
      </w:r>
      <w:r>
        <w:t>made the following observations</w:t>
      </w:r>
      <w:r w:rsidRPr="00CE0424">
        <w:t>:</w:t>
      </w:r>
      <w:r>
        <w:rPr>
          <w:b/>
          <w:bCs/>
        </w:rPr>
        <w:t xml:space="preserve"> </w:t>
      </w:r>
    </w:p>
    <w:p w14:paraId="6394D11A" w14:textId="77777777" w:rsidR="00ED7852" w:rsidRDefault="00022E59">
      <w:pPr>
        <w:pStyle w:val="TableofFigures"/>
        <w:tabs>
          <w:tab w:val="right" w:leader="dot" w:pos="9629"/>
        </w:tabs>
        <w:rPr>
          <w:rFonts w:asciiTheme="minorHAnsi" w:eastAsiaTheme="minorEastAsia" w:hAnsiTheme="minorHAns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5119928" w:history="1">
        <w:r w:rsidR="00ED7852" w:rsidRPr="00986F69">
          <w:rPr>
            <w:rStyle w:val="Hyperlink"/>
            <w:rFonts w:eastAsia="Calibri"/>
            <w:noProof/>
            <w:lang w:val="en-US"/>
          </w:rPr>
          <w:t>Observation 1</w:t>
        </w:r>
        <w:r w:rsidR="00ED7852">
          <w:rPr>
            <w:rFonts w:asciiTheme="minorHAnsi" w:eastAsiaTheme="minorEastAsia" w:hAnsiTheme="minorHAnsi"/>
            <w:b w:val="0"/>
            <w:noProof/>
            <w:sz w:val="22"/>
            <w:szCs w:val="22"/>
            <w:lang w:val="en-US"/>
          </w:rPr>
          <w:tab/>
        </w:r>
        <w:r w:rsidR="00ED7852" w:rsidRPr="00986F69">
          <w:rPr>
            <w:rStyle w:val="Hyperlink"/>
            <w:rFonts w:eastAsia="Calibri"/>
            <w:noProof/>
            <w:lang w:val="en-US"/>
          </w:rPr>
          <w:t>In NR, TDD configuration is provided by gNB in a UE-dedicated manner and gNB schedules the UEs to avoid DL-UL interference.</w:t>
        </w:r>
      </w:hyperlink>
    </w:p>
    <w:p w14:paraId="5F26C229" w14:textId="77777777" w:rsidR="00ED7852" w:rsidRDefault="002145E0">
      <w:pPr>
        <w:pStyle w:val="TableofFigures"/>
        <w:tabs>
          <w:tab w:val="right" w:leader="dot" w:pos="9629"/>
        </w:tabs>
        <w:rPr>
          <w:rFonts w:asciiTheme="minorHAnsi" w:eastAsiaTheme="minorEastAsia" w:hAnsiTheme="minorHAnsi"/>
          <w:b w:val="0"/>
          <w:noProof/>
          <w:sz w:val="22"/>
          <w:szCs w:val="22"/>
          <w:lang w:val="en-US"/>
        </w:rPr>
      </w:pPr>
      <w:hyperlink w:anchor="_Toc5119929" w:history="1">
        <w:r w:rsidR="00ED7852" w:rsidRPr="00986F69">
          <w:rPr>
            <w:rStyle w:val="Hyperlink"/>
            <w:rFonts w:eastAsia="Calibri"/>
            <w:noProof/>
            <w:lang w:val="en-US"/>
          </w:rPr>
          <w:t>Observation 2</w:t>
        </w:r>
        <w:r w:rsidR="00ED7852">
          <w:rPr>
            <w:rFonts w:asciiTheme="minorHAnsi" w:eastAsiaTheme="minorEastAsia" w:hAnsiTheme="minorHAnsi"/>
            <w:b w:val="0"/>
            <w:noProof/>
            <w:sz w:val="22"/>
            <w:szCs w:val="22"/>
            <w:lang w:val="en-US"/>
          </w:rPr>
          <w:tab/>
        </w:r>
        <w:r w:rsidR="00ED7852" w:rsidRPr="00986F69">
          <w:rPr>
            <w:rStyle w:val="Hyperlink"/>
            <w:rFonts w:eastAsia="Calibri"/>
            <w:noProof/>
            <w:lang w:val="en-US"/>
          </w:rPr>
          <w:t>Pre-configuration may allow UEs to operate in short-slot format in unlicensed carrier, if needed for future scenarios.</w:t>
        </w:r>
      </w:hyperlink>
    </w:p>
    <w:p w14:paraId="722A7D4D" w14:textId="6A29E075" w:rsidR="00022E59" w:rsidRDefault="00022E59" w:rsidP="00022E5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E20C931" w14:textId="71E02C9C" w:rsidR="00ED7852" w:rsidRDefault="00022E59">
      <w:pPr>
        <w:pStyle w:val="TableofFigures"/>
        <w:tabs>
          <w:tab w:val="right" w:leader="dot" w:pos="9629"/>
        </w:tabs>
        <w:rPr>
          <w:rFonts w:asciiTheme="minorHAnsi" w:eastAsiaTheme="minorEastAsia" w:hAnsiTheme="minorHAnsi"/>
          <w:b w:val="0"/>
          <w:noProof/>
          <w:sz w:val="22"/>
          <w:szCs w:val="22"/>
          <w:lang w:val="en-US"/>
        </w:rPr>
      </w:pPr>
      <w:r>
        <w:rPr>
          <w:b w:val="0"/>
          <w:bCs/>
          <w:sz w:val="20"/>
          <w:lang w:val="en-US"/>
        </w:rPr>
        <w:fldChar w:fldCharType="begin"/>
      </w:r>
      <w:r>
        <w:rPr>
          <w:b w:val="0"/>
          <w:bCs/>
          <w:lang w:val="en-US"/>
        </w:rPr>
        <w:instrText xml:space="preserve"> TOC \n \h \z \t "Proposal" \c </w:instrText>
      </w:r>
      <w:r>
        <w:rPr>
          <w:b w:val="0"/>
          <w:bCs/>
          <w:sz w:val="20"/>
          <w:lang w:val="en-US"/>
        </w:rPr>
        <w:fldChar w:fldCharType="separate"/>
      </w:r>
      <w:hyperlink w:anchor="_Toc5119930" w:history="1">
        <w:r w:rsidR="00ED7852" w:rsidRPr="00BD734F">
          <w:rPr>
            <w:rStyle w:val="Hyperlink"/>
            <w:rFonts w:eastAsia="Calibri"/>
            <w:noProof/>
            <w:lang w:val="en-US"/>
          </w:rPr>
          <w:t>Proposal 1</w:t>
        </w:r>
        <w:r w:rsidR="00ED7852">
          <w:rPr>
            <w:rFonts w:asciiTheme="minorHAnsi" w:eastAsiaTheme="minorEastAsia" w:hAnsiTheme="minorHAnsi"/>
            <w:b w:val="0"/>
            <w:noProof/>
            <w:sz w:val="22"/>
            <w:szCs w:val="22"/>
            <w:lang w:val="en-US"/>
          </w:rPr>
          <w:tab/>
        </w:r>
        <w:r w:rsidR="00ED7852" w:rsidRPr="00BD734F">
          <w:rPr>
            <w:rStyle w:val="Hyperlink"/>
            <w:rFonts w:eastAsia="Calibri"/>
            <w:noProof/>
            <w:lang w:val="en-US"/>
          </w:rPr>
          <w:t>NR sidelink is designed under the assumption that SL transmissions may only share resources with UL transmissions.</w:t>
        </w:r>
      </w:hyperlink>
    </w:p>
    <w:p w14:paraId="4AD35476" w14:textId="183870C0" w:rsidR="00ED7852" w:rsidRDefault="002145E0">
      <w:pPr>
        <w:pStyle w:val="TableofFigures"/>
        <w:tabs>
          <w:tab w:val="right" w:leader="dot" w:pos="9629"/>
        </w:tabs>
        <w:rPr>
          <w:rFonts w:asciiTheme="minorHAnsi" w:eastAsiaTheme="minorEastAsia" w:hAnsiTheme="minorHAnsi"/>
          <w:b w:val="0"/>
          <w:noProof/>
          <w:sz w:val="22"/>
          <w:szCs w:val="22"/>
          <w:lang w:val="en-US"/>
        </w:rPr>
      </w:pPr>
      <w:hyperlink w:anchor="_Toc5119931" w:history="1">
        <w:r w:rsidR="00ED7852" w:rsidRPr="00BD734F">
          <w:rPr>
            <w:rStyle w:val="Hyperlink"/>
            <w:rFonts w:eastAsia="Calibri" w:cs="Arial"/>
            <w:noProof/>
            <w:lang w:val="en-US"/>
          </w:rPr>
          <w:t>Proposal 2</w:t>
        </w:r>
        <w:r w:rsidR="00ED7852">
          <w:rPr>
            <w:rFonts w:asciiTheme="minorHAnsi" w:eastAsiaTheme="minorEastAsia" w:hAnsiTheme="minorHAnsi"/>
            <w:b w:val="0"/>
            <w:noProof/>
            <w:sz w:val="22"/>
            <w:szCs w:val="22"/>
            <w:lang w:val="en-US"/>
          </w:rPr>
          <w:tab/>
        </w:r>
        <w:r w:rsidR="00ED7852" w:rsidRPr="00BD734F">
          <w:rPr>
            <w:rStyle w:val="Hyperlink"/>
            <w:rFonts w:eastAsia="Calibri" w:cs="Arial"/>
            <w:noProof/>
            <w:lang w:val="en-US"/>
          </w:rPr>
          <w:t>Categorize resources as ‘SL-allowed’ or ‘SL-prohibited’ independently of UL/DL/X configuration. It is up to the network to provide a configuration that is compatible with the assumption in Proposal 1 and targets all NR V2X scenarios.</w:t>
        </w:r>
      </w:hyperlink>
    </w:p>
    <w:p w14:paraId="285C0FDB" w14:textId="60AF0125" w:rsidR="00ED7852" w:rsidRDefault="002145E0">
      <w:pPr>
        <w:pStyle w:val="TableofFigures"/>
        <w:tabs>
          <w:tab w:val="right" w:leader="dot" w:pos="9629"/>
        </w:tabs>
        <w:rPr>
          <w:rFonts w:asciiTheme="minorHAnsi" w:eastAsiaTheme="minorEastAsia" w:hAnsiTheme="minorHAnsi"/>
          <w:b w:val="0"/>
          <w:noProof/>
          <w:sz w:val="22"/>
          <w:szCs w:val="22"/>
          <w:lang w:val="en-US"/>
        </w:rPr>
      </w:pPr>
      <w:hyperlink w:anchor="_Toc5119932" w:history="1">
        <w:r w:rsidR="00ED7852" w:rsidRPr="00BD734F">
          <w:rPr>
            <w:rStyle w:val="Hyperlink"/>
            <w:rFonts w:eastAsia="Calibri" w:cs="Arial"/>
            <w:noProof/>
            <w:lang w:val="en-US"/>
          </w:rPr>
          <w:t>Proposal 3</w:t>
        </w:r>
        <w:r w:rsidR="00ED7852">
          <w:rPr>
            <w:rFonts w:asciiTheme="minorHAnsi" w:eastAsiaTheme="minorEastAsia" w:hAnsiTheme="minorHAnsi"/>
            <w:b w:val="0"/>
            <w:noProof/>
            <w:sz w:val="22"/>
            <w:szCs w:val="22"/>
            <w:lang w:val="en-US"/>
          </w:rPr>
          <w:tab/>
        </w:r>
        <w:r w:rsidR="00ED7852" w:rsidRPr="00BD734F">
          <w:rPr>
            <w:rStyle w:val="Hyperlink"/>
            <w:rFonts w:eastAsia="Calibri" w:cs="Arial"/>
            <w:noProof/>
            <w:lang w:val="en-US"/>
          </w:rPr>
          <w:t>RRC configuration defining SL-allowed symbols in shared carrier is common to all the UEs.</w:t>
        </w:r>
      </w:hyperlink>
    </w:p>
    <w:p w14:paraId="6ED907FE" w14:textId="0AD75414" w:rsidR="00ED7852" w:rsidRDefault="002145E0">
      <w:pPr>
        <w:pStyle w:val="TableofFigures"/>
        <w:tabs>
          <w:tab w:val="right" w:leader="dot" w:pos="9629"/>
        </w:tabs>
        <w:rPr>
          <w:rFonts w:asciiTheme="minorHAnsi" w:eastAsiaTheme="minorEastAsia" w:hAnsiTheme="minorHAnsi"/>
          <w:b w:val="0"/>
          <w:noProof/>
          <w:sz w:val="22"/>
          <w:szCs w:val="22"/>
          <w:lang w:val="en-US"/>
        </w:rPr>
      </w:pPr>
      <w:hyperlink w:anchor="_Toc5119933" w:history="1">
        <w:r w:rsidR="00ED7852" w:rsidRPr="00BD734F">
          <w:rPr>
            <w:rStyle w:val="Hyperlink"/>
            <w:rFonts w:eastAsia="Calibri"/>
            <w:noProof/>
            <w:lang w:val="en-US"/>
          </w:rPr>
          <w:t>Proposal 4</w:t>
        </w:r>
        <w:r w:rsidR="00ED7852">
          <w:rPr>
            <w:rFonts w:asciiTheme="minorHAnsi" w:eastAsiaTheme="minorEastAsia" w:hAnsiTheme="minorHAnsi"/>
            <w:b w:val="0"/>
            <w:noProof/>
            <w:sz w:val="22"/>
            <w:szCs w:val="22"/>
            <w:lang w:val="en-US"/>
          </w:rPr>
          <w:tab/>
        </w:r>
        <w:r w:rsidR="00ED7852" w:rsidRPr="00BD734F">
          <w:rPr>
            <w:rStyle w:val="Hyperlink"/>
            <w:rFonts w:eastAsia="Calibri"/>
            <w:noProof/>
            <w:lang w:val="en-US"/>
          </w:rPr>
          <w:t>Slot format is preconfigured in a cell-specific manner, i.e., all the UEs use the same slot configuration.</w:t>
        </w:r>
      </w:hyperlink>
    </w:p>
    <w:p w14:paraId="17148766" w14:textId="6C160BED" w:rsidR="00ED7852" w:rsidRDefault="002145E0">
      <w:pPr>
        <w:pStyle w:val="TableofFigures"/>
        <w:tabs>
          <w:tab w:val="right" w:leader="dot" w:pos="9629"/>
        </w:tabs>
        <w:rPr>
          <w:rFonts w:asciiTheme="minorHAnsi" w:eastAsiaTheme="minorEastAsia" w:hAnsiTheme="minorHAnsi"/>
          <w:b w:val="0"/>
          <w:noProof/>
          <w:sz w:val="22"/>
          <w:szCs w:val="22"/>
          <w:lang w:val="en-US"/>
        </w:rPr>
      </w:pPr>
      <w:hyperlink w:anchor="_Toc5119934" w:history="1">
        <w:r w:rsidR="00ED7852" w:rsidRPr="00BD734F">
          <w:rPr>
            <w:rStyle w:val="Hyperlink"/>
            <w:rFonts w:eastAsia="Calibri"/>
            <w:noProof/>
            <w:lang w:val="en-US"/>
          </w:rPr>
          <w:t>Proposal 5</w:t>
        </w:r>
        <w:r w:rsidR="00ED7852">
          <w:rPr>
            <w:rFonts w:asciiTheme="minorHAnsi" w:eastAsiaTheme="minorEastAsia" w:hAnsiTheme="minorHAnsi"/>
            <w:b w:val="0"/>
            <w:noProof/>
            <w:sz w:val="22"/>
            <w:szCs w:val="22"/>
            <w:lang w:val="en-US"/>
          </w:rPr>
          <w:tab/>
        </w:r>
        <w:r w:rsidR="00ED7852" w:rsidRPr="00BD734F">
          <w:rPr>
            <w:rStyle w:val="Hyperlink"/>
            <w:rFonts w:eastAsia="Calibri"/>
            <w:noProof/>
            <w:lang w:val="en-US"/>
          </w:rPr>
          <w:t>Short-slot used for SL mimics the design of full slot structure.</w:t>
        </w:r>
      </w:hyperlink>
    </w:p>
    <w:p w14:paraId="099B0BBB" w14:textId="05DDFF53" w:rsidR="00ED7852" w:rsidRDefault="002145E0">
      <w:pPr>
        <w:pStyle w:val="TableofFigures"/>
        <w:tabs>
          <w:tab w:val="right" w:leader="dot" w:pos="9629"/>
        </w:tabs>
        <w:rPr>
          <w:rFonts w:asciiTheme="minorHAnsi" w:eastAsiaTheme="minorEastAsia" w:hAnsiTheme="minorHAnsi"/>
          <w:b w:val="0"/>
          <w:noProof/>
          <w:sz w:val="22"/>
          <w:szCs w:val="22"/>
          <w:lang w:val="en-US"/>
        </w:rPr>
      </w:pPr>
      <w:hyperlink w:anchor="_Toc5119935" w:history="1">
        <w:r w:rsidR="00ED7852" w:rsidRPr="00BD734F">
          <w:rPr>
            <w:rStyle w:val="Hyperlink"/>
            <w:rFonts w:eastAsia="Calibri"/>
            <w:noProof/>
            <w:lang w:val="en-US"/>
          </w:rPr>
          <w:t>Proposal 6</w:t>
        </w:r>
        <w:r w:rsidR="00ED7852">
          <w:rPr>
            <w:rFonts w:asciiTheme="minorHAnsi" w:eastAsiaTheme="minorEastAsia" w:hAnsiTheme="minorHAnsi"/>
            <w:b w:val="0"/>
            <w:noProof/>
            <w:sz w:val="22"/>
            <w:szCs w:val="22"/>
            <w:lang w:val="en-US"/>
          </w:rPr>
          <w:tab/>
        </w:r>
        <w:r w:rsidR="00ED7852" w:rsidRPr="00BD734F">
          <w:rPr>
            <w:rStyle w:val="Hyperlink"/>
            <w:rFonts w:eastAsia="Calibri"/>
            <w:noProof/>
            <w:lang w:val="en-US"/>
          </w:rPr>
          <w:t>RAN1 further studies the minimum supported length for short-slot.</w:t>
        </w:r>
      </w:hyperlink>
    </w:p>
    <w:p w14:paraId="1C1DB6D7" w14:textId="6F4E0890" w:rsidR="00ED7852" w:rsidRDefault="002145E0">
      <w:pPr>
        <w:pStyle w:val="TableofFigures"/>
        <w:tabs>
          <w:tab w:val="right" w:leader="dot" w:pos="9629"/>
        </w:tabs>
        <w:rPr>
          <w:rFonts w:asciiTheme="minorHAnsi" w:eastAsiaTheme="minorEastAsia" w:hAnsiTheme="minorHAnsi"/>
          <w:b w:val="0"/>
          <w:noProof/>
          <w:sz w:val="22"/>
          <w:szCs w:val="22"/>
          <w:lang w:val="en-US"/>
        </w:rPr>
      </w:pPr>
      <w:hyperlink w:anchor="_Toc5119936" w:history="1">
        <w:r w:rsidR="00ED7852" w:rsidRPr="00BD734F">
          <w:rPr>
            <w:rStyle w:val="Hyperlink"/>
            <w:rFonts w:eastAsia="Calibri"/>
            <w:noProof/>
            <w:lang w:val="en-US"/>
          </w:rPr>
          <w:t>Proposal 7</w:t>
        </w:r>
        <w:r w:rsidR="00ED7852">
          <w:rPr>
            <w:rFonts w:asciiTheme="minorHAnsi" w:eastAsiaTheme="minorEastAsia" w:hAnsiTheme="minorHAnsi"/>
            <w:b w:val="0"/>
            <w:noProof/>
            <w:sz w:val="22"/>
            <w:szCs w:val="22"/>
            <w:lang w:val="en-US"/>
          </w:rPr>
          <w:tab/>
        </w:r>
        <w:r w:rsidR="00ED7852" w:rsidRPr="00BD734F">
          <w:rPr>
            <w:rStyle w:val="Hyperlink"/>
            <w:rFonts w:eastAsia="Calibri"/>
            <w:noProof/>
            <w:lang w:val="en-US"/>
          </w:rPr>
          <w:t>SL-MIB also contains slot configuration configured by gNB.</w:t>
        </w:r>
      </w:hyperlink>
    </w:p>
    <w:p w14:paraId="6A610F6F" w14:textId="04AD8A37" w:rsidR="006B5156" w:rsidRPr="0028770C" w:rsidRDefault="005527DB" w:rsidP="00584C99">
      <w:pPr>
        <w:pStyle w:val="Heading1"/>
      </w:pPr>
      <w:r w:rsidRPr="005527DB">
        <w:rPr>
          <w:bCs/>
          <w:lang w:val="en-US"/>
        </w:rPr>
        <w:t>5</w:t>
      </w:r>
      <w:r>
        <w:rPr>
          <w:b/>
          <w:bCs/>
          <w:lang w:val="en-US"/>
        </w:rPr>
        <w:tab/>
      </w:r>
      <w:r w:rsidR="00022E59">
        <w:rPr>
          <w:b/>
          <w:bCs/>
          <w:lang w:val="en-US"/>
        </w:rPr>
        <w:fldChar w:fldCharType="end"/>
      </w:r>
      <w:bookmarkStart w:id="39" w:name="_In-sequence_SDU_delivery"/>
      <w:bookmarkEnd w:id="38"/>
      <w:bookmarkEnd w:id="39"/>
      <w:r w:rsidR="006B5156" w:rsidRPr="0028770C">
        <w:t>References</w:t>
      </w:r>
    </w:p>
    <w:p w14:paraId="0BEB334E" w14:textId="77777777" w:rsidR="0028770C" w:rsidRPr="0028770C" w:rsidRDefault="0028770C" w:rsidP="0028770C">
      <w:pPr>
        <w:pStyle w:val="Reference"/>
      </w:pPr>
      <w:bookmarkStart w:id="40" w:name="_Ref4155288"/>
      <w:bookmarkStart w:id="41" w:name="_Ref4412232"/>
      <w:r w:rsidRPr="0028770C">
        <w:rPr>
          <w:rFonts w:cs="Arial"/>
        </w:rPr>
        <w:t>RP-</w:t>
      </w:r>
      <w:r w:rsidRPr="0028770C">
        <w:rPr>
          <w:rFonts w:eastAsia="Batang" w:cs="Arial"/>
        </w:rPr>
        <w:t>190766</w:t>
      </w:r>
      <w:r w:rsidRPr="0028770C">
        <w:rPr>
          <w:rFonts w:cs="Arial"/>
        </w:rPr>
        <w:t>,</w:t>
      </w:r>
      <w:r w:rsidRPr="0028770C">
        <w:rPr>
          <w:rFonts w:cs="Arial"/>
        </w:rPr>
        <w:tab/>
        <w:t xml:space="preserve"> </w:t>
      </w:r>
      <w:r w:rsidRPr="0028770C">
        <w:rPr>
          <w:rFonts w:eastAsia="Batang" w:cs="Arial"/>
        </w:rPr>
        <w:t>New WID on 5</w:t>
      </w:r>
      <w:r w:rsidRPr="0028770C">
        <w:rPr>
          <w:rFonts w:eastAsia="Batang" w:cs="Arial" w:hint="eastAsia"/>
          <w:lang w:eastAsia="ko-KR"/>
        </w:rPr>
        <w:t>G V2X with NR sidelink</w:t>
      </w:r>
      <w:r w:rsidRPr="0028770C">
        <w:rPr>
          <w:rFonts w:eastAsia="Batang" w:cs="Arial"/>
          <w:lang w:eastAsia="ko-KR"/>
        </w:rPr>
        <w:t>, 3GPP TSG RAN Meeting #83, March 2019</w:t>
      </w:r>
      <w:r w:rsidRPr="0028770C">
        <w:rPr>
          <w:rFonts w:cs="Arial"/>
        </w:rPr>
        <w:t>.</w:t>
      </w:r>
      <w:bookmarkEnd w:id="40"/>
      <w:bookmarkEnd w:id="41"/>
    </w:p>
    <w:p w14:paraId="0034D3CC" w14:textId="3041FC11" w:rsidR="003A7EF3" w:rsidRPr="00584C99" w:rsidRDefault="0028770C" w:rsidP="006B5156">
      <w:pPr>
        <w:pStyle w:val="Reference"/>
        <w:rPr>
          <w:lang w:val="en-US"/>
        </w:rPr>
      </w:pPr>
      <w:bookmarkStart w:id="42" w:name="_Ref4412244"/>
      <w:r w:rsidRPr="0028770C">
        <w:t>3GPP TR 38.885, “Technical Specification Group Radio Access Network; NR; Study on Vehicle-to-Everything (Release 16),” V2.0.0, March 2019.</w:t>
      </w:r>
      <w:bookmarkEnd w:id="42"/>
    </w:p>
    <w:sectPr w:rsidR="003A7EF3" w:rsidRPr="00584C9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0DCF5" w14:textId="77777777" w:rsidR="002145E0" w:rsidRDefault="002145E0">
      <w:r>
        <w:separator/>
      </w:r>
    </w:p>
  </w:endnote>
  <w:endnote w:type="continuationSeparator" w:id="0">
    <w:p w14:paraId="7FCBD176" w14:textId="77777777" w:rsidR="002145E0" w:rsidRDefault="00214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D8378" w14:textId="77777777" w:rsidR="002145E0" w:rsidRDefault="002145E0">
      <w:r>
        <w:separator/>
      </w:r>
    </w:p>
  </w:footnote>
  <w:footnote w:type="continuationSeparator" w:id="0">
    <w:p w14:paraId="44F236ED" w14:textId="77777777" w:rsidR="002145E0" w:rsidRDefault="00214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7273C"/>
    <w:multiLevelType w:val="hybridMultilevel"/>
    <w:tmpl w:val="E9A64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BF7C46"/>
    <w:multiLevelType w:val="hybridMultilevel"/>
    <w:tmpl w:val="A588CA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AA46647"/>
    <w:multiLevelType w:val="hybridMultilevel"/>
    <w:tmpl w:val="DF100074"/>
    <w:lvl w:ilvl="0" w:tplc="A95A7BA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563B64"/>
    <w:multiLevelType w:val="hybridMultilevel"/>
    <w:tmpl w:val="719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4513C4"/>
    <w:multiLevelType w:val="hybridMultilevel"/>
    <w:tmpl w:val="202CB510"/>
    <w:lvl w:ilvl="0" w:tplc="1A82704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2F200B0"/>
    <w:multiLevelType w:val="hybridMultilevel"/>
    <w:tmpl w:val="3572BE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0"/>
  </w:num>
  <w:num w:numId="6">
    <w:abstractNumId w:val="20"/>
  </w:num>
  <w:num w:numId="7">
    <w:abstractNumId w:val="25"/>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7"/>
  </w:num>
  <w:num w:numId="18">
    <w:abstractNumId w:val="8"/>
  </w:num>
  <w:num w:numId="19">
    <w:abstractNumId w:val="5"/>
  </w:num>
  <w:num w:numId="20">
    <w:abstractNumId w:val="29"/>
  </w:num>
  <w:num w:numId="21">
    <w:abstractNumId w:val="13"/>
  </w:num>
  <w:num w:numId="22">
    <w:abstractNumId w:val="27"/>
  </w:num>
  <w:num w:numId="23">
    <w:abstractNumId w:val="19"/>
  </w:num>
  <w:num w:numId="24">
    <w:abstractNumId w:val="4"/>
  </w:num>
  <w:num w:numId="25">
    <w:abstractNumId w:val="30"/>
  </w:num>
  <w:num w:numId="26">
    <w:abstractNumId w:val="6"/>
  </w:num>
  <w:num w:numId="27">
    <w:abstractNumId w:val="28"/>
  </w:num>
  <w:num w:numId="28">
    <w:abstractNumId w:val="24"/>
  </w:num>
  <w:num w:numId="29">
    <w:abstractNumId w:val="17"/>
  </w:num>
  <w:num w:numId="30">
    <w:abstractNumId w:val="14"/>
  </w:num>
  <w:num w:numId="3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7B7"/>
    <w:rsid w:val="00003A64"/>
    <w:rsid w:val="0000564C"/>
    <w:rsid w:val="00006446"/>
    <w:rsid w:val="00006896"/>
    <w:rsid w:val="00007CDC"/>
    <w:rsid w:val="00011B28"/>
    <w:rsid w:val="00015D15"/>
    <w:rsid w:val="00022E5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63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A92"/>
    <w:rsid w:val="000D4797"/>
    <w:rsid w:val="000E0527"/>
    <w:rsid w:val="000E1E92"/>
    <w:rsid w:val="000E6B5B"/>
    <w:rsid w:val="000F06D6"/>
    <w:rsid w:val="000F0EB1"/>
    <w:rsid w:val="000F1106"/>
    <w:rsid w:val="000F3BE9"/>
    <w:rsid w:val="000F3F6C"/>
    <w:rsid w:val="000F6DF3"/>
    <w:rsid w:val="001005FF"/>
    <w:rsid w:val="001062FB"/>
    <w:rsid w:val="001063E6"/>
    <w:rsid w:val="00112BF6"/>
    <w:rsid w:val="00113CF4"/>
    <w:rsid w:val="001153EA"/>
    <w:rsid w:val="00115643"/>
    <w:rsid w:val="00116765"/>
    <w:rsid w:val="001219F5"/>
    <w:rsid w:val="00121A20"/>
    <w:rsid w:val="00121E3D"/>
    <w:rsid w:val="0012377F"/>
    <w:rsid w:val="00124314"/>
    <w:rsid w:val="00126B4A"/>
    <w:rsid w:val="00132FD0"/>
    <w:rsid w:val="001344C0"/>
    <w:rsid w:val="001346FA"/>
    <w:rsid w:val="00135252"/>
    <w:rsid w:val="00137AB5"/>
    <w:rsid w:val="00137F0B"/>
    <w:rsid w:val="00140411"/>
    <w:rsid w:val="00151BCF"/>
    <w:rsid w:val="00151E23"/>
    <w:rsid w:val="001526E0"/>
    <w:rsid w:val="001551B5"/>
    <w:rsid w:val="001659C1"/>
    <w:rsid w:val="00173A8E"/>
    <w:rsid w:val="0017502C"/>
    <w:rsid w:val="0018143F"/>
    <w:rsid w:val="00181FF8"/>
    <w:rsid w:val="00182E20"/>
    <w:rsid w:val="00190AC1"/>
    <w:rsid w:val="0019341A"/>
    <w:rsid w:val="00197DF9"/>
    <w:rsid w:val="001A1987"/>
    <w:rsid w:val="001A2564"/>
    <w:rsid w:val="001A6173"/>
    <w:rsid w:val="001A6CBA"/>
    <w:rsid w:val="001B0D97"/>
    <w:rsid w:val="001B5A5D"/>
    <w:rsid w:val="001C1CE5"/>
    <w:rsid w:val="001C25A6"/>
    <w:rsid w:val="001C3D2A"/>
    <w:rsid w:val="001C5AD2"/>
    <w:rsid w:val="001D107E"/>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5E0"/>
    <w:rsid w:val="00214DA8"/>
    <w:rsid w:val="00215423"/>
    <w:rsid w:val="002158FA"/>
    <w:rsid w:val="00220600"/>
    <w:rsid w:val="00220D24"/>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01F6"/>
    <w:rsid w:val="0025246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70C"/>
    <w:rsid w:val="00287838"/>
    <w:rsid w:val="002907B5"/>
    <w:rsid w:val="00292EB7"/>
    <w:rsid w:val="00296227"/>
    <w:rsid w:val="00296F44"/>
    <w:rsid w:val="0029777D"/>
    <w:rsid w:val="002A055E"/>
    <w:rsid w:val="002A1D4E"/>
    <w:rsid w:val="002A2869"/>
    <w:rsid w:val="002B24D6"/>
    <w:rsid w:val="002C35CB"/>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E7C"/>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3E90"/>
    <w:rsid w:val="00370E47"/>
    <w:rsid w:val="003742AC"/>
    <w:rsid w:val="00377CE1"/>
    <w:rsid w:val="00385BF0"/>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6208"/>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9B9"/>
    <w:rsid w:val="00437447"/>
    <w:rsid w:val="00437651"/>
    <w:rsid w:val="00441A92"/>
    <w:rsid w:val="00443145"/>
    <w:rsid w:val="004431DC"/>
    <w:rsid w:val="00444F56"/>
    <w:rsid w:val="00446488"/>
    <w:rsid w:val="004517AA"/>
    <w:rsid w:val="00452CAC"/>
    <w:rsid w:val="00457565"/>
    <w:rsid w:val="00457B71"/>
    <w:rsid w:val="004669E2"/>
    <w:rsid w:val="00470C31"/>
    <w:rsid w:val="00471DE0"/>
    <w:rsid w:val="004734D0"/>
    <w:rsid w:val="0047556B"/>
    <w:rsid w:val="00477768"/>
    <w:rsid w:val="00486F1D"/>
    <w:rsid w:val="00492BC5"/>
    <w:rsid w:val="004964F1"/>
    <w:rsid w:val="004A16BC"/>
    <w:rsid w:val="004A2B94"/>
    <w:rsid w:val="004A6A82"/>
    <w:rsid w:val="004B6F6A"/>
    <w:rsid w:val="004B7C0C"/>
    <w:rsid w:val="004C3898"/>
    <w:rsid w:val="004D36B1"/>
    <w:rsid w:val="004D4DEA"/>
    <w:rsid w:val="004D7EBD"/>
    <w:rsid w:val="004D7FDF"/>
    <w:rsid w:val="004E2680"/>
    <w:rsid w:val="004E28F9"/>
    <w:rsid w:val="004E309C"/>
    <w:rsid w:val="004E462E"/>
    <w:rsid w:val="004E56DC"/>
    <w:rsid w:val="004E76F4"/>
    <w:rsid w:val="004F0B4E"/>
    <w:rsid w:val="004F0B6C"/>
    <w:rsid w:val="004F2078"/>
    <w:rsid w:val="004F4529"/>
    <w:rsid w:val="004F4DA3"/>
    <w:rsid w:val="00506557"/>
    <w:rsid w:val="0050677A"/>
    <w:rsid w:val="005108D8"/>
    <w:rsid w:val="005116F9"/>
    <w:rsid w:val="00513D2C"/>
    <w:rsid w:val="005153A7"/>
    <w:rsid w:val="005219CF"/>
    <w:rsid w:val="005345BA"/>
    <w:rsid w:val="00534B59"/>
    <w:rsid w:val="00536759"/>
    <w:rsid w:val="00537C62"/>
    <w:rsid w:val="00546970"/>
    <w:rsid w:val="005527DB"/>
    <w:rsid w:val="00554E19"/>
    <w:rsid w:val="0056121F"/>
    <w:rsid w:val="00572505"/>
    <w:rsid w:val="00576E2A"/>
    <w:rsid w:val="00582809"/>
    <w:rsid w:val="00584C99"/>
    <w:rsid w:val="0058798C"/>
    <w:rsid w:val="005900FA"/>
    <w:rsid w:val="005935A4"/>
    <w:rsid w:val="005948C2"/>
    <w:rsid w:val="00595DCA"/>
    <w:rsid w:val="0059779B"/>
    <w:rsid w:val="005A209A"/>
    <w:rsid w:val="005A662D"/>
    <w:rsid w:val="005B1409"/>
    <w:rsid w:val="005B35D7"/>
    <w:rsid w:val="005B392A"/>
    <w:rsid w:val="005B3AA3"/>
    <w:rsid w:val="005B6F83"/>
    <w:rsid w:val="005C426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7BD"/>
    <w:rsid w:val="0064396A"/>
    <w:rsid w:val="006452B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F1F"/>
    <w:rsid w:val="006A46FB"/>
    <w:rsid w:val="006A5E28"/>
    <w:rsid w:val="006A697B"/>
    <w:rsid w:val="006A7AFF"/>
    <w:rsid w:val="006B1816"/>
    <w:rsid w:val="006B2099"/>
    <w:rsid w:val="006B50CF"/>
    <w:rsid w:val="006B5156"/>
    <w:rsid w:val="006C03B8"/>
    <w:rsid w:val="006C5EC9"/>
    <w:rsid w:val="006C6059"/>
    <w:rsid w:val="006C6AD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395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0C4"/>
    <w:rsid w:val="007A58A6"/>
    <w:rsid w:val="007B0685"/>
    <w:rsid w:val="007B303D"/>
    <w:rsid w:val="007B3D2D"/>
    <w:rsid w:val="007B50AE"/>
    <w:rsid w:val="007B51DF"/>
    <w:rsid w:val="007B57AF"/>
    <w:rsid w:val="007C05DD"/>
    <w:rsid w:val="007C3D18"/>
    <w:rsid w:val="007C60BF"/>
    <w:rsid w:val="007C6A07"/>
    <w:rsid w:val="007C75A1"/>
    <w:rsid w:val="007C77A5"/>
    <w:rsid w:val="007D04E5"/>
    <w:rsid w:val="007D0D46"/>
    <w:rsid w:val="007D3243"/>
    <w:rsid w:val="007D5901"/>
    <w:rsid w:val="007D7526"/>
    <w:rsid w:val="007E4610"/>
    <w:rsid w:val="007E4715"/>
    <w:rsid w:val="007E505B"/>
    <w:rsid w:val="007E7091"/>
    <w:rsid w:val="007F16D8"/>
    <w:rsid w:val="00803FAE"/>
    <w:rsid w:val="0080605F"/>
    <w:rsid w:val="00807786"/>
    <w:rsid w:val="00811FCB"/>
    <w:rsid w:val="00814643"/>
    <w:rsid w:val="008158D6"/>
    <w:rsid w:val="00817196"/>
    <w:rsid w:val="008209A9"/>
    <w:rsid w:val="008235DB"/>
    <w:rsid w:val="00824AB4"/>
    <w:rsid w:val="00825C42"/>
    <w:rsid w:val="00825D25"/>
    <w:rsid w:val="00827D6F"/>
    <w:rsid w:val="00835F53"/>
    <w:rsid w:val="008376AC"/>
    <w:rsid w:val="00843099"/>
    <w:rsid w:val="008444E8"/>
    <w:rsid w:val="00844E80"/>
    <w:rsid w:val="00846FE7"/>
    <w:rsid w:val="00856911"/>
    <w:rsid w:val="00860A80"/>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65B"/>
    <w:rsid w:val="008F1C4E"/>
    <w:rsid w:val="008F1EAB"/>
    <w:rsid w:val="008F33DC"/>
    <w:rsid w:val="008F477F"/>
    <w:rsid w:val="00902350"/>
    <w:rsid w:val="0090336B"/>
    <w:rsid w:val="009053AA"/>
    <w:rsid w:val="00906939"/>
    <w:rsid w:val="00910B7D"/>
    <w:rsid w:val="00911DFB"/>
    <w:rsid w:val="0091311E"/>
    <w:rsid w:val="009139D9"/>
    <w:rsid w:val="00914AD8"/>
    <w:rsid w:val="00916079"/>
    <w:rsid w:val="00917CE9"/>
    <w:rsid w:val="00920BF2"/>
    <w:rsid w:val="00922010"/>
    <w:rsid w:val="00922C72"/>
    <w:rsid w:val="00924852"/>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115"/>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375AB"/>
    <w:rsid w:val="00A41E2B"/>
    <w:rsid w:val="00A44248"/>
    <w:rsid w:val="00A45B74"/>
    <w:rsid w:val="00A52E1D"/>
    <w:rsid w:val="00A61499"/>
    <w:rsid w:val="00A62A77"/>
    <w:rsid w:val="00A63483"/>
    <w:rsid w:val="00A657D7"/>
    <w:rsid w:val="00A660AC"/>
    <w:rsid w:val="00A67E6C"/>
    <w:rsid w:val="00A70A40"/>
    <w:rsid w:val="00A71B99"/>
    <w:rsid w:val="00A739D0"/>
    <w:rsid w:val="00A761D4"/>
    <w:rsid w:val="00A77EC4"/>
    <w:rsid w:val="00A92879"/>
    <w:rsid w:val="00A9442A"/>
    <w:rsid w:val="00AA016F"/>
    <w:rsid w:val="00AA1ED6"/>
    <w:rsid w:val="00AA51D6"/>
    <w:rsid w:val="00AA5267"/>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10CD"/>
    <w:rsid w:val="00B372AA"/>
    <w:rsid w:val="00B40445"/>
    <w:rsid w:val="00B409E0"/>
    <w:rsid w:val="00B41888"/>
    <w:rsid w:val="00B45A52"/>
    <w:rsid w:val="00B46175"/>
    <w:rsid w:val="00B548B7"/>
    <w:rsid w:val="00B664C7"/>
    <w:rsid w:val="00B739F6"/>
    <w:rsid w:val="00B81A6C"/>
    <w:rsid w:val="00B848A6"/>
    <w:rsid w:val="00B85DE5"/>
    <w:rsid w:val="00B90F73"/>
    <w:rsid w:val="00B93B59"/>
    <w:rsid w:val="00B9406A"/>
    <w:rsid w:val="00B949A8"/>
    <w:rsid w:val="00BA2280"/>
    <w:rsid w:val="00BA2A08"/>
    <w:rsid w:val="00BA56D2"/>
    <w:rsid w:val="00BA76E0"/>
    <w:rsid w:val="00BB10A7"/>
    <w:rsid w:val="00BB2A25"/>
    <w:rsid w:val="00BB51E9"/>
    <w:rsid w:val="00BB7040"/>
    <w:rsid w:val="00BC0FDC"/>
    <w:rsid w:val="00BC3053"/>
    <w:rsid w:val="00BC3BF4"/>
    <w:rsid w:val="00BC4D2E"/>
    <w:rsid w:val="00BD45BA"/>
    <w:rsid w:val="00BD48AC"/>
    <w:rsid w:val="00BD5F1A"/>
    <w:rsid w:val="00BE1234"/>
    <w:rsid w:val="00BE2FA6"/>
    <w:rsid w:val="00BE333F"/>
    <w:rsid w:val="00BE37E7"/>
    <w:rsid w:val="00BE7406"/>
    <w:rsid w:val="00BE7603"/>
    <w:rsid w:val="00BF18A0"/>
    <w:rsid w:val="00BF3279"/>
    <w:rsid w:val="00BF74C7"/>
    <w:rsid w:val="00C015F1"/>
    <w:rsid w:val="00C01F33"/>
    <w:rsid w:val="00C02CC6"/>
    <w:rsid w:val="00C040F7"/>
    <w:rsid w:val="00C044AB"/>
    <w:rsid w:val="00C05706"/>
    <w:rsid w:val="00C07377"/>
    <w:rsid w:val="00C10181"/>
    <w:rsid w:val="00C10478"/>
    <w:rsid w:val="00C10D20"/>
    <w:rsid w:val="00C12107"/>
    <w:rsid w:val="00C14D4B"/>
    <w:rsid w:val="00C154BB"/>
    <w:rsid w:val="00C279B5"/>
    <w:rsid w:val="00C27C45"/>
    <w:rsid w:val="00C3719D"/>
    <w:rsid w:val="00C37CB2"/>
    <w:rsid w:val="00C443F3"/>
    <w:rsid w:val="00C448A3"/>
    <w:rsid w:val="00C473A5"/>
    <w:rsid w:val="00C511A7"/>
    <w:rsid w:val="00C54995"/>
    <w:rsid w:val="00C54D41"/>
    <w:rsid w:val="00C60783"/>
    <w:rsid w:val="00C609BB"/>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5C8"/>
    <w:rsid w:val="00CA1ED8"/>
    <w:rsid w:val="00CA62B3"/>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B05"/>
    <w:rsid w:val="00D304D8"/>
    <w:rsid w:val="00D36E71"/>
    <w:rsid w:val="00D37D87"/>
    <w:rsid w:val="00D40B33"/>
    <w:rsid w:val="00D4318F"/>
    <w:rsid w:val="00D438BF"/>
    <w:rsid w:val="00D440F8"/>
    <w:rsid w:val="00D546FF"/>
    <w:rsid w:val="00D55AD5"/>
    <w:rsid w:val="00D576CA"/>
    <w:rsid w:val="00D61AF5"/>
    <w:rsid w:val="00D652B5"/>
    <w:rsid w:val="00D66155"/>
    <w:rsid w:val="00D67C92"/>
    <w:rsid w:val="00D708B0"/>
    <w:rsid w:val="00D73B5E"/>
    <w:rsid w:val="00D77B1D"/>
    <w:rsid w:val="00D8021F"/>
    <w:rsid w:val="00D80383"/>
    <w:rsid w:val="00D823C6"/>
    <w:rsid w:val="00D8327F"/>
    <w:rsid w:val="00D8441B"/>
    <w:rsid w:val="00D85F43"/>
    <w:rsid w:val="00D86CA3"/>
    <w:rsid w:val="00D871CE"/>
    <w:rsid w:val="00D9196D"/>
    <w:rsid w:val="00D92982"/>
    <w:rsid w:val="00DA305E"/>
    <w:rsid w:val="00DA5417"/>
    <w:rsid w:val="00DA56E8"/>
    <w:rsid w:val="00DB0A9F"/>
    <w:rsid w:val="00DB377D"/>
    <w:rsid w:val="00DC2D36"/>
    <w:rsid w:val="00DC53EF"/>
    <w:rsid w:val="00DE13F7"/>
    <w:rsid w:val="00DE5608"/>
    <w:rsid w:val="00DE58D0"/>
    <w:rsid w:val="00DE654F"/>
    <w:rsid w:val="00DE6E2C"/>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6362"/>
    <w:rsid w:val="00E3723A"/>
    <w:rsid w:val="00E37860"/>
    <w:rsid w:val="00E446F1"/>
    <w:rsid w:val="00E44A1A"/>
    <w:rsid w:val="00E46886"/>
    <w:rsid w:val="00E46B3F"/>
    <w:rsid w:val="00E47AEF"/>
    <w:rsid w:val="00E53B75"/>
    <w:rsid w:val="00E54E3B"/>
    <w:rsid w:val="00E57565"/>
    <w:rsid w:val="00E63838"/>
    <w:rsid w:val="00E64434"/>
    <w:rsid w:val="00E67AFE"/>
    <w:rsid w:val="00E67C51"/>
    <w:rsid w:val="00E71441"/>
    <w:rsid w:val="00E72964"/>
    <w:rsid w:val="00E72EFC"/>
    <w:rsid w:val="00E758EC"/>
    <w:rsid w:val="00E82172"/>
    <w:rsid w:val="00E8234C"/>
    <w:rsid w:val="00E83AA9"/>
    <w:rsid w:val="00E85928"/>
    <w:rsid w:val="00E87822"/>
    <w:rsid w:val="00E90395"/>
    <w:rsid w:val="00E90E49"/>
    <w:rsid w:val="00E917F9"/>
    <w:rsid w:val="00E9291C"/>
    <w:rsid w:val="00E93FFE"/>
    <w:rsid w:val="00E94F8A"/>
    <w:rsid w:val="00EA1D38"/>
    <w:rsid w:val="00EA7A41"/>
    <w:rsid w:val="00EB077B"/>
    <w:rsid w:val="00EB392B"/>
    <w:rsid w:val="00EB4EA2"/>
    <w:rsid w:val="00EC1898"/>
    <w:rsid w:val="00EC24D5"/>
    <w:rsid w:val="00EC27C6"/>
    <w:rsid w:val="00EC4207"/>
    <w:rsid w:val="00EC5653"/>
    <w:rsid w:val="00EC71CE"/>
    <w:rsid w:val="00ED1006"/>
    <w:rsid w:val="00ED7852"/>
    <w:rsid w:val="00EF18FE"/>
    <w:rsid w:val="00EF3372"/>
    <w:rsid w:val="00EF5787"/>
    <w:rsid w:val="00EF60D0"/>
    <w:rsid w:val="00F0528D"/>
    <w:rsid w:val="00F06C67"/>
    <w:rsid w:val="00F06DFD"/>
    <w:rsid w:val="00F071D1"/>
    <w:rsid w:val="00F07533"/>
    <w:rsid w:val="00F10629"/>
    <w:rsid w:val="00F15FA5"/>
    <w:rsid w:val="00F209B7"/>
    <w:rsid w:val="00F2376F"/>
    <w:rsid w:val="00F243D8"/>
    <w:rsid w:val="00F2799F"/>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9EE"/>
    <w:rsid w:val="00F8456C"/>
    <w:rsid w:val="00F859D8"/>
    <w:rsid w:val="00F868F5"/>
    <w:rsid w:val="00F9056A"/>
    <w:rsid w:val="00F90F8D"/>
    <w:rsid w:val="00F92782"/>
    <w:rsid w:val="00F93AA9"/>
    <w:rsid w:val="00F96985"/>
    <w:rsid w:val="00F97838"/>
    <w:rsid w:val="00FA2BB3"/>
    <w:rsid w:val="00FB4C80"/>
    <w:rsid w:val="00FB6A6A"/>
    <w:rsid w:val="00FB7111"/>
    <w:rsid w:val="00FC7429"/>
    <w:rsid w:val="00FD0334"/>
    <w:rsid w:val="00FD07F6"/>
    <w:rsid w:val="00FD1EC8"/>
    <w:rsid w:val="00FD47ED"/>
    <w:rsid w:val="00FD74DB"/>
    <w:rsid w:val="00FD7660"/>
    <w:rsid w:val="00FE0655"/>
    <w:rsid w:val="00FE2365"/>
    <w:rsid w:val="00FE37D7"/>
    <w:rsid w:val="00FE4C7B"/>
    <w:rsid w:val="00FE7336"/>
    <w:rsid w:val="00FE787C"/>
    <w:rsid w:val="00FE7FD8"/>
    <w:rsid w:val="00FF2D4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BF4"/>
    <w:rPr>
      <w:rFonts w:asciiTheme="minorHAnsi" w:eastAsiaTheme="minorHAnsi" w:hAnsiTheme="minorHAnsi" w:cstheme="minorBidi"/>
      <w:sz w:val="24"/>
      <w:szCs w:val="24"/>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C3B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3BF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f6__x95f4_ xmlns="cc7603ed-7603-4824-9004-1c5aaeadf2ab" xsi:nil="true"/>
    <_Flow_SignoffStatus xmlns="cc7603ed-7603-4824-9004-1c5aaeadf2ab" xsi:nil="true"/>
    <NH xmlns="cc7603ed-7603-4824-9004-1c5aaeadf2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11" ma:contentTypeDescription="Skapa ett nytt dokument." ma:contentTypeScope="" ma:versionID="841ae2189eb84d2463037f80d45bfc99">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e308fcdc57b7269c4d76073a7b876d6d"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Godkännande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3C5A5-D32B-4FD3-8AD2-A110C0CAC5D9}">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70689D17-C65E-48D7-8382-EF746A12C189}">
  <ds:schemaRefs>
    <ds:schemaRef ds:uri="http://schemas.microsoft.com/sharepoint/v3/contenttype/forms"/>
  </ds:schemaRefs>
</ds:datastoreItem>
</file>

<file path=customXml/itemProps3.xml><?xml version="1.0" encoding="utf-8"?>
<ds:datastoreItem xmlns:ds="http://schemas.openxmlformats.org/officeDocument/2006/customXml" ds:itemID="{978AF8A8-2DA0-4A91-9E2D-F10D5929C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2AD6A-8FDE-F940-A080-A2A9A2A14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2019-04-02T17:59:00Z</dcterms:created>
  <dcterms:modified xsi:type="dcterms:W3CDTF">2019-04-02T17:59:00Z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9728">
    <vt:lpwstr>53</vt:lpwstr>
  </property>
  <property fmtid="{D5CDD505-2E9C-101B-9397-08002B2CF9AE}" pid="3" name="ContentTypeId">
    <vt:lpwstr>0x0101001ACB0BFAF4B3DB478B6E162A113003C9</vt:lpwstr>
  </property>
  <property fmtid="{D5CDD505-2E9C-101B-9397-08002B2CF9AE}" pid="4" name="Date">
    <vt:filetime>2018-03-26T22:00:00Z</vt:filetime>
  </property>
</Properties>
</file>